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904" w:rsidRPr="00C77904" w:rsidRDefault="00C77904" w:rsidP="00C77904">
      <w:pPr>
        <w:widowControl w:val="0"/>
        <w:spacing w:after="0" w:line="240" w:lineRule="auto"/>
        <w:jc w:val="center"/>
        <w:outlineLvl w:val="0"/>
        <w:rPr>
          <w:rFonts w:eastAsia="Times New Roman" w:cs="Times New Roman"/>
          <w:b/>
          <w:sz w:val="32"/>
          <w:szCs w:val="32"/>
          <w:lang w:val="nl-NL" w:eastAsia="vi-VN"/>
        </w:rPr>
      </w:pPr>
      <w:r w:rsidRPr="00C77904">
        <w:rPr>
          <w:rFonts w:eastAsia="Times New Roman" w:cs="Times New Roman"/>
          <w:b/>
          <w:sz w:val="32"/>
          <w:szCs w:val="32"/>
          <w:lang w:val="nl-NL" w:eastAsia="vi-VN"/>
        </w:rPr>
        <w:t>LUẬT</w:t>
      </w:r>
    </w:p>
    <w:p w:rsidR="00C77904" w:rsidRPr="00C77904" w:rsidRDefault="00C77904" w:rsidP="00C77904">
      <w:pPr>
        <w:widowControl w:val="0"/>
        <w:spacing w:after="0" w:line="240" w:lineRule="auto"/>
        <w:jc w:val="center"/>
        <w:rPr>
          <w:rFonts w:eastAsia="Times New Roman" w:cs="Times New Roman"/>
          <w:b/>
          <w:szCs w:val="24"/>
          <w:lang w:val="nl-NL" w:eastAsia="vi-VN"/>
        </w:rPr>
      </w:pPr>
      <w:r w:rsidRPr="00C77904">
        <w:rPr>
          <w:rFonts w:eastAsia="Times New Roman" w:cs="Times New Roman"/>
          <w:b/>
          <w:sz w:val="32"/>
          <w:szCs w:val="32"/>
          <w:lang w:val="nl-NL" w:eastAsia="vi-VN"/>
        </w:rPr>
        <w:t>THUẾ GIÁ TRỊ GIA TĂNG</w:t>
      </w:r>
    </w:p>
    <w:p w:rsidR="00C77904" w:rsidRPr="00C77904" w:rsidRDefault="00C77904" w:rsidP="00C77904">
      <w:pPr>
        <w:keepLines/>
        <w:spacing w:after="0" w:line="240" w:lineRule="auto"/>
        <w:jc w:val="center"/>
        <w:rPr>
          <w:rFonts w:eastAsia="Times New Roman" w:cs="Times New Roman"/>
          <w:b/>
          <w:bCs/>
          <w:szCs w:val="24"/>
          <w:lang w:val="nl-NL" w:eastAsia="vi-VN"/>
        </w:rPr>
      </w:pPr>
      <w:r w:rsidRPr="00C77904">
        <w:rPr>
          <w:rFonts w:eastAsia="Times New Roman" w:cs="Times New Roman"/>
          <w:b/>
          <w:bCs/>
          <w:szCs w:val="24"/>
          <w:lang w:val="nl-NL" w:eastAsia="vi-VN"/>
        </w:rPr>
        <w:t xml:space="preserve">CỦA QUỐC HỘI KHÓA XII, KỲ HỌP THỨ 3, SỐ </w:t>
      </w:r>
      <w:r w:rsidRPr="00C77904">
        <w:rPr>
          <w:rFonts w:eastAsia="Times New Roman" w:cs="Times New Roman"/>
          <w:b/>
          <w:szCs w:val="24"/>
          <w:lang w:val="nl-NL" w:eastAsia="vi-VN"/>
        </w:rPr>
        <w:t>13/2008/QH12</w:t>
      </w:r>
      <w:r w:rsidRPr="00C77904">
        <w:rPr>
          <w:rFonts w:eastAsia="Times New Roman" w:cs="Times New Roman"/>
          <w:b/>
          <w:bCs/>
          <w:szCs w:val="24"/>
          <w:lang w:val="nl-NL" w:eastAsia="vi-VN"/>
        </w:rPr>
        <w:t xml:space="preserve"> </w:t>
      </w:r>
    </w:p>
    <w:p w:rsidR="00C77904" w:rsidRPr="00C77904" w:rsidRDefault="00C77904" w:rsidP="00C77904">
      <w:pPr>
        <w:spacing w:after="0" w:line="240" w:lineRule="auto"/>
        <w:jc w:val="center"/>
        <w:rPr>
          <w:rFonts w:eastAsia="Times New Roman" w:cs="Times New Roman"/>
          <w:b/>
          <w:bCs/>
          <w:szCs w:val="24"/>
          <w:lang w:val="nl-NL" w:eastAsia="vi-VN"/>
        </w:rPr>
      </w:pPr>
      <w:r w:rsidRPr="00C77904">
        <w:rPr>
          <w:rFonts w:eastAsia="Times New Roman" w:cs="Times New Roman"/>
          <w:b/>
          <w:bCs/>
          <w:szCs w:val="24"/>
          <w:lang w:val="nl-NL" w:eastAsia="vi-VN"/>
        </w:rPr>
        <w:t>NGÀY 03 THÁNG 06 NĂM 2008</w:t>
      </w:r>
    </w:p>
    <w:p w:rsidR="00C77904" w:rsidRPr="00C77904" w:rsidRDefault="00C77904" w:rsidP="00C77904">
      <w:pPr>
        <w:widowControl w:val="0"/>
        <w:spacing w:before="120" w:after="0" w:line="240" w:lineRule="auto"/>
        <w:jc w:val="center"/>
        <w:rPr>
          <w:rFonts w:eastAsia="Times New Roman" w:cs="Times New Roman"/>
          <w:b/>
          <w:szCs w:val="24"/>
          <w:lang w:val="nl-NL" w:eastAsia="vi-VN"/>
        </w:rPr>
      </w:pPr>
    </w:p>
    <w:p w:rsidR="00C77904" w:rsidRPr="00C77904" w:rsidRDefault="00C77904" w:rsidP="00C77904">
      <w:pPr>
        <w:widowControl w:val="0"/>
        <w:spacing w:before="120" w:after="0" w:line="240" w:lineRule="auto"/>
        <w:ind w:firstLine="540"/>
        <w:jc w:val="both"/>
        <w:rPr>
          <w:rFonts w:eastAsia="Times New Roman" w:cs="Times New Roman"/>
          <w:i/>
          <w:szCs w:val="24"/>
          <w:lang w:val="nl-NL" w:eastAsia="vi-VN"/>
        </w:rPr>
      </w:pPr>
      <w:r w:rsidRPr="00C77904">
        <w:rPr>
          <w:rFonts w:eastAsia="Times New Roman" w:cs="Times New Roman"/>
          <w:i/>
          <w:szCs w:val="24"/>
          <w:lang w:val="nl-NL" w:eastAsia="vi-VN"/>
        </w:rPr>
        <w:t>Căn cứ Hiến pháp nước Cộng hoà xã hội chủ nghĩa Việt Nam năm 1992 đã được sửa đổi, bổ sung một số điều theo Nghị quyết số 51/2001/QH10;</w:t>
      </w:r>
    </w:p>
    <w:p w:rsidR="00C77904" w:rsidRPr="00C77904" w:rsidRDefault="00C77904" w:rsidP="00C77904">
      <w:pPr>
        <w:widowControl w:val="0"/>
        <w:spacing w:before="120" w:after="0" w:line="240" w:lineRule="auto"/>
        <w:ind w:firstLine="720"/>
        <w:jc w:val="both"/>
        <w:outlineLvl w:val="0"/>
        <w:rPr>
          <w:rFonts w:eastAsia="Times New Roman" w:cs="Times New Roman"/>
          <w:i/>
          <w:szCs w:val="24"/>
          <w:lang w:val="nl-NL" w:eastAsia="vi-VN"/>
        </w:rPr>
      </w:pPr>
      <w:r w:rsidRPr="00C77904">
        <w:rPr>
          <w:rFonts w:eastAsia="Times New Roman" w:cs="Times New Roman"/>
          <w:i/>
          <w:szCs w:val="24"/>
          <w:lang w:val="nl-NL" w:eastAsia="vi-VN"/>
        </w:rPr>
        <w:t>Quốc hội ban hành Luật thuế giá trị gia tăng.</w:t>
      </w:r>
    </w:p>
    <w:p w:rsidR="00C77904" w:rsidRPr="00C77904" w:rsidRDefault="00C77904" w:rsidP="00C77904">
      <w:pPr>
        <w:widowControl w:val="0"/>
        <w:spacing w:after="0" w:line="240" w:lineRule="auto"/>
        <w:jc w:val="center"/>
        <w:outlineLvl w:val="0"/>
        <w:rPr>
          <w:rFonts w:eastAsia="Times New Roman" w:cs="Times New Roman"/>
          <w:i/>
          <w:szCs w:val="24"/>
          <w:lang w:val="nl-NL" w:eastAsia="vi-VN"/>
        </w:rPr>
      </w:pPr>
    </w:p>
    <w:p w:rsidR="00C77904" w:rsidRPr="00C77904" w:rsidRDefault="00C77904" w:rsidP="00C77904">
      <w:pPr>
        <w:widowControl w:val="0"/>
        <w:spacing w:after="0" w:line="240" w:lineRule="auto"/>
        <w:jc w:val="center"/>
        <w:outlineLvl w:val="0"/>
        <w:rPr>
          <w:rFonts w:eastAsia="Times New Roman" w:cs="Times New Roman"/>
          <w:b/>
          <w:szCs w:val="24"/>
          <w:lang w:val="nl-NL" w:eastAsia="vi-VN"/>
        </w:rPr>
      </w:pPr>
      <w:r w:rsidRPr="00C77904">
        <w:rPr>
          <w:rFonts w:eastAsia="Times New Roman" w:cs="Times New Roman"/>
          <w:b/>
          <w:szCs w:val="24"/>
          <w:lang w:val="nl-NL" w:eastAsia="vi-VN"/>
        </w:rPr>
        <w:t>Chương I</w:t>
      </w:r>
    </w:p>
    <w:p w:rsidR="00C77904" w:rsidRPr="00C77904" w:rsidRDefault="00C77904" w:rsidP="00C77904">
      <w:pPr>
        <w:widowControl w:val="0"/>
        <w:spacing w:after="0" w:line="240" w:lineRule="auto"/>
        <w:jc w:val="center"/>
        <w:rPr>
          <w:rFonts w:eastAsia="Times New Roman" w:cs="Times New Roman"/>
          <w:b/>
          <w:szCs w:val="24"/>
          <w:lang w:val="nl-NL" w:eastAsia="vi-VN"/>
        </w:rPr>
      </w:pPr>
      <w:r w:rsidRPr="00C77904">
        <w:rPr>
          <w:rFonts w:eastAsia="Times New Roman" w:cs="Times New Roman"/>
          <w:b/>
          <w:szCs w:val="24"/>
          <w:lang w:val="nl-NL" w:eastAsia="vi-VN"/>
        </w:rPr>
        <w:t>NHỮNG QUY ĐỊNH CHUNG</w:t>
      </w:r>
    </w:p>
    <w:p w:rsidR="00C77904" w:rsidRPr="00C77904" w:rsidRDefault="00C77904" w:rsidP="00C77904">
      <w:pPr>
        <w:widowControl w:val="0"/>
        <w:spacing w:before="120" w:after="0" w:line="240" w:lineRule="auto"/>
        <w:ind w:firstLine="720"/>
        <w:jc w:val="both"/>
        <w:rPr>
          <w:rFonts w:eastAsia="Times New Roman" w:cs="Times New Roman"/>
          <w:b/>
          <w:bCs/>
          <w:iCs/>
          <w:szCs w:val="24"/>
          <w:lang w:val="nl-NL" w:eastAsia="ja-JP"/>
        </w:rPr>
      </w:pPr>
      <w:r w:rsidRPr="00C77904">
        <w:rPr>
          <w:rFonts w:eastAsia="Times New Roman" w:cs="Times New Roman"/>
          <w:b/>
          <w:bCs/>
          <w:iCs/>
          <w:spacing w:val="24"/>
          <w:szCs w:val="24"/>
          <w:lang w:val="nl-NL" w:eastAsia="ja-JP"/>
        </w:rPr>
        <w:t>Điều 1.</w:t>
      </w:r>
      <w:r w:rsidRPr="00C77904">
        <w:rPr>
          <w:rFonts w:eastAsia="Times New Roman" w:cs="Times New Roman"/>
          <w:b/>
          <w:bCs/>
          <w:iCs/>
          <w:szCs w:val="24"/>
          <w:lang w:val="nl-NL" w:eastAsia="ja-JP"/>
        </w:rPr>
        <w:t xml:space="preserve"> Phạm vi điều chỉnh </w:t>
      </w:r>
      <w:r w:rsidRPr="00C77904">
        <w:rPr>
          <w:rFonts w:eastAsia="Times New Roman" w:cs="Times New Roman"/>
          <w:b/>
          <w:bCs/>
          <w:iCs/>
          <w:szCs w:val="24"/>
          <w:lang w:val="nl-NL" w:eastAsia="ja-JP"/>
        </w:rPr>
        <w:tab/>
      </w: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Luật này quy định về đối tượng chịu thuế, đối tượng không chịu thuế, người nộp thuế, căn cứ và phương pháp tính thuế, khấu trừ và hoàn thuế giá trị gia tăng. </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szCs w:val="24"/>
          <w:lang w:val="nl-NL" w:eastAsia="vi-VN"/>
        </w:rPr>
      </w:pPr>
      <w:r w:rsidRPr="00C77904">
        <w:rPr>
          <w:rFonts w:eastAsia="Times New Roman" w:cs="Times New Roman"/>
          <w:szCs w:val="24"/>
          <w:lang w:val="nl-NL" w:eastAsia="vi-VN"/>
        </w:rPr>
        <w:tab/>
      </w:r>
      <w:r w:rsidRPr="00C77904">
        <w:rPr>
          <w:rFonts w:eastAsia="Times New Roman" w:cs="Times New Roman"/>
          <w:b/>
          <w:szCs w:val="24"/>
          <w:lang w:val="nl-NL" w:eastAsia="vi-VN"/>
        </w:rPr>
        <w:t>Điều 2</w:t>
      </w:r>
      <w:r w:rsidRPr="00C77904">
        <w:rPr>
          <w:rFonts w:eastAsia="Times New Roman" w:cs="Times New Roman"/>
          <w:szCs w:val="24"/>
          <w:lang w:val="nl-NL" w:eastAsia="vi-VN"/>
        </w:rPr>
        <w:t xml:space="preserve">. </w:t>
      </w:r>
      <w:r w:rsidRPr="00C77904">
        <w:rPr>
          <w:rFonts w:eastAsia="Times New Roman" w:cs="Times New Roman"/>
          <w:b/>
          <w:szCs w:val="24"/>
          <w:lang w:val="nl-NL" w:eastAsia="vi-VN"/>
        </w:rPr>
        <w:t>Thuế giá trị gia tăng</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Thuế giá trị gia tăng là thuế tính trên giá trị tăng thêm của hàng hoá, dịch vụ phát sinh trong quá trình từ sản xuất, lưu thông đến tiêu dùng.</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b/>
          <w:szCs w:val="24"/>
          <w:lang w:val="nl-NL" w:eastAsia="vi-VN"/>
        </w:rPr>
      </w:pPr>
      <w:r w:rsidRPr="00C77904">
        <w:rPr>
          <w:rFonts w:eastAsia="Times New Roman" w:cs="Times New Roman"/>
          <w:b/>
          <w:szCs w:val="24"/>
          <w:lang w:val="nl-NL" w:eastAsia="vi-VN"/>
        </w:rPr>
        <w:tab/>
        <w:t>Điều 3</w:t>
      </w:r>
      <w:r w:rsidRPr="00C77904">
        <w:rPr>
          <w:rFonts w:eastAsia="Times New Roman" w:cs="Times New Roman"/>
          <w:szCs w:val="24"/>
          <w:lang w:val="nl-NL" w:eastAsia="vi-VN"/>
        </w:rPr>
        <w:t xml:space="preserve">. </w:t>
      </w:r>
      <w:r w:rsidRPr="00C77904">
        <w:rPr>
          <w:rFonts w:eastAsia="Times New Roman" w:cs="Times New Roman"/>
          <w:b/>
          <w:szCs w:val="24"/>
          <w:lang w:val="nl-NL" w:eastAsia="vi-VN"/>
        </w:rPr>
        <w:t>Đối tượng chịu thuế</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 xml:space="preserve">Hàng hóa, dịch vụ sử dụng cho sản xuất, kinh doanh và tiêu dùng ở Việt Nam là đối tượng chịu thuế giá trị gia tăng, trừ các đối tượng quy định tại Điều 5 của Luật này. </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r>
      <w:r w:rsidRPr="00C77904">
        <w:rPr>
          <w:rFonts w:eastAsia="Times New Roman" w:cs="Times New Roman"/>
          <w:b/>
          <w:szCs w:val="24"/>
          <w:lang w:val="nl-NL" w:eastAsia="vi-VN"/>
        </w:rPr>
        <w:t>Điều 4</w:t>
      </w:r>
      <w:r w:rsidRPr="00C77904">
        <w:rPr>
          <w:rFonts w:eastAsia="Times New Roman" w:cs="Times New Roman"/>
          <w:szCs w:val="24"/>
          <w:lang w:val="nl-NL" w:eastAsia="vi-VN"/>
        </w:rPr>
        <w:t xml:space="preserve">. </w:t>
      </w:r>
      <w:r w:rsidRPr="00C77904">
        <w:rPr>
          <w:rFonts w:eastAsia="Times New Roman" w:cs="Times New Roman"/>
          <w:b/>
          <w:szCs w:val="24"/>
          <w:lang w:val="nl-NL" w:eastAsia="vi-VN"/>
        </w:rPr>
        <w:t>Người nộp thuế</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Người nộp thuế giá trị gia tăng là tổ chức, cá nhân sản xuất, kinh doanh hàng hóa, dịch vụ chịu thuế giá trị gia tăng</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 xml:space="preserve">(sau đây gọi là cơ sở kinh doanh) và tổ chức, cá nhân nhập khẩu hàng hóa chịu thuế giá trị gia tăng (sau đây gọi là người nhập khẩu). </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b/>
          <w:szCs w:val="24"/>
          <w:lang w:val="nl-NL" w:eastAsia="vi-VN"/>
        </w:rPr>
      </w:pPr>
      <w:r w:rsidRPr="00C77904">
        <w:rPr>
          <w:rFonts w:eastAsia="Times New Roman" w:cs="Times New Roman"/>
          <w:b/>
          <w:szCs w:val="24"/>
          <w:lang w:val="nl-NL" w:eastAsia="vi-VN"/>
        </w:rPr>
        <w:tab/>
        <w:t>Điều 5</w:t>
      </w:r>
      <w:r w:rsidRPr="00C77904">
        <w:rPr>
          <w:rFonts w:eastAsia="Times New Roman" w:cs="Times New Roman"/>
          <w:szCs w:val="24"/>
          <w:lang w:val="nl-NL" w:eastAsia="vi-VN"/>
        </w:rPr>
        <w:t xml:space="preserve">. </w:t>
      </w:r>
      <w:r w:rsidRPr="00C77904">
        <w:rPr>
          <w:rFonts w:eastAsia="Times New Roman" w:cs="Times New Roman"/>
          <w:b/>
          <w:szCs w:val="24"/>
          <w:lang w:val="nl-NL" w:eastAsia="vi-VN"/>
        </w:rPr>
        <w:t>Đối tượng không chịu thuế</w:t>
      </w:r>
    </w:p>
    <w:p w:rsidR="00C77904" w:rsidRPr="00C77904" w:rsidRDefault="00C77904" w:rsidP="00C77904">
      <w:pPr>
        <w:widowControl w:val="0"/>
        <w:tabs>
          <w:tab w:val="left" w:pos="720"/>
        </w:tabs>
        <w:spacing w:before="120" w:after="0" w:line="240" w:lineRule="auto"/>
        <w:ind w:firstLine="567"/>
        <w:jc w:val="both"/>
        <w:rPr>
          <w:rFonts w:eastAsia="Times New Roman" w:cs="Times New Roman"/>
          <w:szCs w:val="24"/>
          <w:lang w:val="nl-NL" w:eastAsia="vi-VN"/>
        </w:rPr>
      </w:pPr>
      <w:r w:rsidRPr="00C77904">
        <w:rPr>
          <w:rFonts w:eastAsia="Times New Roman" w:cs="Times New Roman"/>
          <w:szCs w:val="24"/>
          <w:lang w:val="nl-NL" w:eastAsia="vi-VN"/>
        </w:rPr>
        <w:tab/>
        <w:t>1. Sản phẩm trồng trọt, chăn nuôi, thuỷ sản nuôi trồng, đánh bắt chưa chế biến thành các sản phẩm khác hoặc chỉ qua sơ chế thông thường của tổ chức, cá nhân tự sản xuất, đánh bắt bán ra và ở khâu nhập khẩu.</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2. Sản phẩm là giống vật nuôi, giống cây trồng, bao gồm trứng giống, con giống, cây giống, hạt giống, tinh dịch, phôi, vật liệu di truyền.</w:t>
      </w:r>
      <w:r w:rsidRPr="00C77904">
        <w:rPr>
          <w:rFonts w:eastAsia="Times New Roman" w:cs="Times New Roman"/>
          <w:szCs w:val="24"/>
          <w:lang w:val="nl-NL" w:eastAsia="vi-VN"/>
        </w:rPr>
        <w:tab/>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3. Tưới, tiêu nước; cày, bừa đất; nạo vét kênh, mương nội đồng phục vụ sản xuất nông nghiệp; dịch vụ thu hoạch sản phẩm nông nghiệp.</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4. Sản phẩm muối được sản xuất từ nước biển, muối mỏ tự nhiên, muối tinh, muối i-ốt.</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5. Nhà ở thuộc sở hữu nhà nước do Nhà nước bán cho người đang thuê.</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 xml:space="preserve">6. Chuyển quyền sử dụng đất. </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7. Bảo hiểm nhân thọ, bảo hiểm người học, bảo hiểm vật nuôi, bảo hiểm cây trồng và tái bảo hiểm.</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8. Dịch vụ cấp tín dụng; kinh doanh chứng khoán;</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chuyển nhượng vốn; dịch vụ tài chính phái sinh, bao gồm hoán đổi lãi suất, hợp đồng kỳ hạn, hợp đồng tương lai, quyền chọn mua, bán ngoại tệ và các dịch vụ tài chính phái sinh khác theo quy định của pháp luật.</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lastRenderedPageBreak/>
        <w:tab/>
        <w:t>9. Dịch vụ y tế, dịch vụ thú y, bao gồm dịch vụ khám bệnh, chữa bệnh, phòng bệnh cho người và vật nuôi.</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10. Dịch vụ bưu chính, viễn thông công ích và In-ter-net phổ cập theo chương trình của Chính phủ.</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pacing w:val="-4"/>
          <w:szCs w:val="24"/>
          <w:lang w:val="nl-NL" w:eastAsia="vi-VN"/>
        </w:rPr>
        <w:t>11. Dịch vụ phục vụ công cộng về vệ sinh, thoát nước đường phố và khu dân cư</w:t>
      </w:r>
      <w:r w:rsidRPr="00C77904">
        <w:rPr>
          <w:rFonts w:eastAsia="Times New Roman" w:cs="Times New Roman"/>
          <w:szCs w:val="24"/>
          <w:lang w:val="nl-NL" w:eastAsia="vi-VN"/>
        </w:rPr>
        <w:t>; duy trì vườn thú, vườn hoa, công viên, cây xanh đường phố, chiếu sáng công cộng; dịch vụ tang lễ.</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12. Duy tu, sửa chữa, xây dựng</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bằng nguồn vốn đóng góp của nhân dân, vốn viện trợ nhân đạo đối với</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các công trình văn hóa, nghệ thuật, công trình phục vụ công cộng, cơ sở hạ tầng và nhà ở cho đối tượng chính sách xã hội.</w:t>
      </w:r>
    </w:p>
    <w:p w:rsidR="00C77904" w:rsidRPr="00C77904" w:rsidRDefault="00C77904" w:rsidP="00C77904">
      <w:pPr>
        <w:widowControl w:val="0"/>
        <w:spacing w:before="120" w:after="0" w:line="240" w:lineRule="auto"/>
        <w:ind w:firstLine="709"/>
        <w:jc w:val="both"/>
        <w:rPr>
          <w:rFonts w:eastAsia="Times New Roman" w:cs="Times New Roman"/>
          <w:i/>
          <w:szCs w:val="24"/>
          <w:u w:val="single"/>
          <w:lang w:val="nl-NL" w:eastAsia="vi-VN"/>
        </w:rPr>
      </w:pPr>
      <w:r w:rsidRPr="00C77904">
        <w:rPr>
          <w:rFonts w:eastAsia="Times New Roman" w:cs="Times New Roman"/>
          <w:szCs w:val="24"/>
          <w:lang w:val="nl-NL" w:eastAsia="vi-VN"/>
        </w:rPr>
        <w:t>13. Dạy học, dạy nghề theo quy định của pháp luật.</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pacing w:val="-6"/>
          <w:szCs w:val="24"/>
          <w:lang w:val="nl-NL" w:eastAsia="vi-VN"/>
        </w:rPr>
      </w:pPr>
      <w:r w:rsidRPr="00C77904">
        <w:rPr>
          <w:rFonts w:eastAsia="Times New Roman" w:cs="Times New Roman"/>
          <w:spacing w:val="-6"/>
          <w:szCs w:val="24"/>
          <w:lang w:val="nl-NL" w:eastAsia="vi-VN"/>
        </w:rPr>
        <w:t xml:space="preserve">14. Phát sóng truyền thanh, truyền hình bằng nguồn vốn ngân sách nhà nước.         </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pacing w:val="-8"/>
          <w:szCs w:val="24"/>
          <w:lang w:val="nl-NL" w:eastAsia="vi-VN"/>
        </w:rPr>
      </w:pPr>
      <w:r w:rsidRPr="00C77904">
        <w:rPr>
          <w:rFonts w:eastAsia="Times New Roman" w:cs="Times New Roman"/>
          <w:szCs w:val="24"/>
          <w:lang w:val="nl-NL" w:eastAsia="vi-VN"/>
        </w:rPr>
        <w:t xml:space="preserve">15. Xuất bản, nhập khẩu, phát hành báo, tạp chí, bản tin chuyên ngành, sách chính trị, sách giáo khoa, giáo trình, sách văn bản pháp luật, sách khoa học - kỹ thuật, sách in bằng chữ dân tộc thiểu số và tranh, ảnh, áp phích tuyên truyền cổ động, kể cả dưới dạng băng hoặc đĩa ghi tiếng, ghi hình, </w:t>
      </w:r>
      <w:r w:rsidRPr="00C77904">
        <w:rPr>
          <w:rFonts w:eastAsia="Times New Roman" w:cs="Times New Roman"/>
          <w:spacing w:val="-8"/>
          <w:szCs w:val="24"/>
          <w:lang w:val="nl-NL" w:eastAsia="vi-VN"/>
        </w:rPr>
        <w:t xml:space="preserve">dữ liệu điện tử; in tiền. </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i/>
          <w:strike/>
          <w:szCs w:val="24"/>
          <w:lang w:val="nl-NL" w:eastAsia="vi-VN"/>
        </w:rPr>
      </w:pPr>
      <w:r w:rsidRPr="00C77904">
        <w:rPr>
          <w:rFonts w:eastAsia="Times New Roman" w:cs="Times New Roman"/>
          <w:szCs w:val="24"/>
          <w:lang w:val="nl-NL" w:eastAsia="vi-VN"/>
        </w:rPr>
        <w:t>16. Vận chuyển hành khách công cộng bằng xe buýt, xe điện.</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trike/>
          <w:szCs w:val="24"/>
          <w:lang w:val="nl-NL" w:eastAsia="vi-VN"/>
        </w:rPr>
      </w:pPr>
      <w:r w:rsidRPr="00C77904">
        <w:rPr>
          <w:rFonts w:eastAsia="Times New Roman" w:cs="Times New Roman"/>
          <w:szCs w:val="24"/>
          <w:lang w:val="nl-NL" w:eastAsia="vi-VN"/>
        </w:rPr>
        <w:t>17. Máy móc, thiết bị,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đốt; tàu bay, dàn khoan, tàu thuỷ thuộc loại trong nước chưa sản xuất được cần nhập khẩu tạo tài sản cố định của doanh nghiệp, thuê của nước ngoài sử dụng cho sản xuất, kinh doanh và để cho thuê.</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18. Vũ khí, khí tài chuyên dùng phục vụ quốc phòng, an ninh.</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19. Hàng hóa nhập khẩu trong trường hợp viện trợ nhân đạo, viện trợ không hoàn lại; quà tặng cho cơ quan nhà nước, tổ chức chính trị, tổ chức chính trị - xã hội, tổ chức chính trị xã hội - nghề nghiệp, tổ chức xã hội, tổ chức xã hội - nghề nghiệp, đơn vị vũ trang nhân dân; quà biếu, quà tặng cho cá nhân tại Việt Nam theo mức quy định của Chính phủ; đồ dùng của tổ chức, cá nhân nước ngoài theo tiêu chuẩn miễn trừ ngoại giao; hàng mang theo người trong tiêu chuẩn hành lý miễn thuế.</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Hàng hoá, dịch vụ bán cho tổ chức, cá nhân nước ngoài, tổ chức quốc tế để viện trợ nhân đạo, viện trợ không hoàn lại cho Việt Nam.</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20. Hàng hoá chuyển khẩu, quá cảnh qua lãnh thổ Việt Nam; hàng tạm nhập khẩu, tái xuất khẩu; hàng tạm xuất khẩu, tái nhập khẩu;</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nguyên liệu nhập khẩu để sản xuất, gia công hàng hoá xuất khẩu theo hợp đồng sản xuất, gia công xuất khẩu ký kết với bên nước ngoài; hàng hoá, dịch vụ được mua bán giữa nước ngoài với các khu phi thuế quan và giữa các khu phi thuế quan với nhau.</w:t>
      </w:r>
    </w:p>
    <w:p w:rsidR="00C77904" w:rsidRPr="00C77904" w:rsidRDefault="00C77904" w:rsidP="00C77904">
      <w:pPr>
        <w:widowControl w:val="0"/>
        <w:spacing w:before="120" w:after="0" w:line="240" w:lineRule="auto"/>
        <w:ind w:firstLine="709"/>
        <w:jc w:val="both"/>
        <w:rPr>
          <w:rFonts w:eastAsia="Times New Roman" w:cs="Times New Roman"/>
          <w:b/>
          <w:i/>
          <w:szCs w:val="24"/>
          <w:lang w:val="nl-NL" w:eastAsia="vi-VN"/>
        </w:rPr>
      </w:pPr>
      <w:r w:rsidRPr="00C77904">
        <w:rPr>
          <w:rFonts w:eastAsia="Times New Roman" w:cs="Times New Roman"/>
          <w:szCs w:val="24"/>
          <w:lang w:val="nl-NL" w:eastAsia="vi-VN"/>
        </w:rPr>
        <w:t>21. Chuyển giao công nghệ theo quy định của Luật chuyển giao công nghệ; chuyển nhượng quyền sở hữu trí tuệ theo quy định của Luật sở hữu trí tuệ; phần mềm máy tính.</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22. Vàng nhập khẩu dạng thỏi, miếng chưa được chế tác thành sản phẩm mỹ nghệ, đồ trang sức hay sản phẩm khác.</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23. Sản phẩm xuất khẩu là tài nguyên, khoáng sản khai thác chưa chế biến theo quy định của Chính phủ.</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lastRenderedPageBreak/>
        <w:t>24. Sản phẩm nhân tạo dùng để thay thế cho bộ phận cơ thể của người bệnh; nạng, xe lăn và dụng cụ chuyên dùng khác cho người</w:t>
      </w:r>
      <w:r w:rsidRPr="00C77904">
        <w:rPr>
          <w:rFonts w:eastAsia="Times New Roman" w:cs="Times New Roman"/>
          <w:b/>
          <w:szCs w:val="24"/>
          <w:lang w:val="nl-NL" w:eastAsia="vi-VN"/>
        </w:rPr>
        <w:t xml:space="preserve"> </w:t>
      </w:r>
      <w:r w:rsidRPr="00C77904">
        <w:rPr>
          <w:rFonts w:eastAsia="Times New Roman" w:cs="Times New Roman"/>
          <w:szCs w:val="24"/>
          <w:lang w:val="nl-NL" w:eastAsia="vi-VN"/>
        </w:rPr>
        <w:t>tàn tật.</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25. Hàng hóa, dịch vụ của cá nhân kinh doanh có mức thu nhập bình quân tháng thấp hơn mức lương tối thiểu chung áp dụng đối với tổ chức, doanh nghiệp trong nước.</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pacing w:val="-4"/>
          <w:szCs w:val="24"/>
          <w:lang w:val="nl-NL" w:eastAsia="vi-VN"/>
        </w:rPr>
      </w:pPr>
      <w:r w:rsidRPr="00C77904">
        <w:rPr>
          <w:rFonts w:eastAsia="Times New Roman" w:cs="Times New Roman"/>
          <w:szCs w:val="24"/>
          <w:lang w:val="nl-NL" w:eastAsia="vi-VN"/>
        </w:rPr>
        <w:t xml:space="preserve">Cơ sở kinh doanh hàng hóa, dịch vụ không chịu thuế giá trị gia tăng quy định tại </w:t>
      </w:r>
      <w:r w:rsidRPr="00C77904">
        <w:rPr>
          <w:rFonts w:eastAsia="Times New Roman" w:cs="Times New Roman"/>
          <w:spacing w:val="-4"/>
          <w:szCs w:val="24"/>
          <w:lang w:val="nl-NL" w:eastAsia="vi-VN"/>
        </w:rPr>
        <w:t>Điều này không được khấu trừ và hoàn thuế giá trị gia tăng đầu vào, trừ trường hợp áp dụng mức thuế suất 0% quy định tại khoản 1 Điều 8 của Luật này.</w:t>
      </w:r>
    </w:p>
    <w:p w:rsidR="00C77904" w:rsidRPr="00C77904" w:rsidRDefault="00C77904" w:rsidP="00C77904">
      <w:pPr>
        <w:widowControl w:val="0"/>
        <w:tabs>
          <w:tab w:val="left" w:pos="720"/>
        </w:tabs>
        <w:spacing w:after="0" w:line="240" w:lineRule="auto"/>
        <w:jc w:val="center"/>
        <w:rPr>
          <w:rFonts w:eastAsia="Times New Roman" w:cs="Times New Roman"/>
          <w:szCs w:val="24"/>
          <w:lang w:val="nl-NL" w:eastAsia="vi-VN"/>
        </w:rPr>
      </w:pPr>
    </w:p>
    <w:p w:rsidR="00C77904" w:rsidRPr="00C77904" w:rsidRDefault="00C77904" w:rsidP="00C77904">
      <w:pPr>
        <w:widowControl w:val="0"/>
        <w:tabs>
          <w:tab w:val="left" w:pos="720"/>
        </w:tabs>
        <w:spacing w:after="0" w:line="240" w:lineRule="auto"/>
        <w:jc w:val="center"/>
        <w:rPr>
          <w:rFonts w:eastAsia="Times New Roman" w:cs="Times New Roman"/>
          <w:b/>
          <w:szCs w:val="24"/>
          <w:lang w:val="nl-NL" w:eastAsia="vi-VN"/>
        </w:rPr>
      </w:pPr>
      <w:r w:rsidRPr="00C77904">
        <w:rPr>
          <w:rFonts w:eastAsia="Times New Roman" w:cs="Times New Roman"/>
          <w:b/>
          <w:szCs w:val="24"/>
          <w:lang w:val="nl-NL" w:eastAsia="vi-VN"/>
        </w:rPr>
        <w:t>Chương II</w:t>
      </w:r>
    </w:p>
    <w:p w:rsidR="00C77904" w:rsidRPr="00C77904" w:rsidRDefault="00C77904" w:rsidP="00C77904">
      <w:pPr>
        <w:widowControl w:val="0"/>
        <w:tabs>
          <w:tab w:val="left" w:pos="720"/>
        </w:tabs>
        <w:spacing w:after="0" w:line="240" w:lineRule="auto"/>
        <w:jc w:val="center"/>
        <w:rPr>
          <w:rFonts w:eastAsia="Times New Roman" w:cs="Times New Roman"/>
          <w:b/>
          <w:szCs w:val="24"/>
          <w:lang w:val="nl-NL" w:eastAsia="vi-VN"/>
        </w:rPr>
      </w:pPr>
      <w:r w:rsidRPr="00C77904">
        <w:rPr>
          <w:rFonts w:eastAsia="Times New Roman" w:cs="Times New Roman"/>
          <w:b/>
          <w:szCs w:val="24"/>
          <w:lang w:val="nl-NL" w:eastAsia="vi-VN"/>
        </w:rPr>
        <w:t>CĂN CỨ VÀ PHƯƠNG PHÁP TÍNH THUẾ</w:t>
      </w:r>
    </w:p>
    <w:p w:rsidR="00C77904" w:rsidRPr="00C77904" w:rsidRDefault="00C77904" w:rsidP="00C77904">
      <w:pPr>
        <w:widowControl w:val="0"/>
        <w:tabs>
          <w:tab w:val="left" w:pos="720"/>
        </w:tabs>
        <w:overflowPunct w:val="0"/>
        <w:adjustRightInd w:val="0"/>
        <w:spacing w:before="120" w:after="0" w:line="240" w:lineRule="auto"/>
        <w:jc w:val="both"/>
        <w:outlineLvl w:val="0"/>
        <w:rPr>
          <w:rFonts w:eastAsia="Times New Roman" w:cs="Times New Roman"/>
          <w:b/>
          <w:szCs w:val="24"/>
          <w:lang w:val="nl-NL" w:eastAsia="vi-VN"/>
        </w:rPr>
      </w:pPr>
      <w:r w:rsidRPr="00C77904">
        <w:rPr>
          <w:rFonts w:eastAsia="Times New Roman" w:cs="Times New Roman"/>
          <w:szCs w:val="24"/>
          <w:lang w:val="nl-NL" w:eastAsia="vi-VN"/>
        </w:rPr>
        <w:tab/>
      </w:r>
      <w:r w:rsidRPr="00C77904">
        <w:rPr>
          <w:rFonts w:eastAsia="Times New Roman" w:cs="Times New Roman"/>
          <w:b/>
          <w:szCs w:val="24"/>
          <w:lang w:val="nl-NL" w:eastAsia="vi-VN"/>
        </w:rPr>
        <w:t>Điều 6. Căn cứ tính thuế</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szCs w:val="24"/>
          <w:lang w:val="nl-NL" w:eastAsia="vi-VN"/>
        </w:rPr>
      </w:pPr>
      <w:r w:rsidRPr="00C77904">
        <w:rPr>
          <w:rFonts w:eastAsia="Times New Roman" w:cs="Times New Roman"/>
          <w:szCs w:val="24"/>
          <w:lang w:val="nl-NL" w:eastAsia="vi-VN"/>
        </w:rPr>
        <w:tab/>
        <w:t>Căn cứ tính thuế giá trị gia tăng là giá tính thuế và thuế suất.</w:t>
      </w:r>
    </w:p>
    <w:p w:rsidR="00C77904" w:rsidRPr="00C77904" w:rsidRDefault="00C77904" w:rsidP="00C77904">
      <w:pPr>
        <w:widowControl w:val="0"/>
        <w:tabs>
          <w:tab w:val="left" w:pos="720"/>
        </w:tabs>
        <w:overflowPunct w:val="0"/>
        <w:adjustRightInd w:val="0"/>
        <w:spacing w:before="120" w:after="0" w:line="240" w:lineRule="auto"/>
        <w:jc w:val="both"/>
        <w:outlineLvl w:val="0"/>
        <w:rPr>
          <w:rFonts w:eastAsia="Times New Roman" w:cs="Times New Roman"/>
          <w:b/>
          <w:szCs w:val="24"/>
          <w:lang w:val="nl-NL" w:eastAsia="vi-VN"/>
        </w:rPr>
      </w:pPr>
      <w:r w:rsidRPr="00C77904">
        <w:rPr>
          <w:rFonts w:eastAsia="Times New Roman" w:cs="Times New Roman"/>
          <w:b/>
          <w:szCs w:val="24"/>
          <w:lang w:val="nl-NL" w:eastAsia="vi-VN"/>
        </w:rPr>
        <w:tab/>
        <w:t xml:space="preserve">Điều 7. Giá tính thuế </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1. Giá tính thuế</w:t>
      </w:r>
      <w:r w:rsidRPr="00C77904">
        <w:rPr>
          <w:rFonts w:eastAsia="Times New Roman" w:cs="Times New Roman"/>
          <w:b/>
          <w:szCs w:val="24"/>
          <w:lang w:val="nl-NL" w:eastAsia="vi-VN"/>
        </w:rPr>
        <w:t xml:space="preserve"> </w:t>
      </w:r>
      <w:r w:rsidRPr="00C77904">
        <w:rPr>
          <w:rFonts w:eastAsia="Times New Roman" w:cs="Times New Roman"/>
          <w:szCs w:val="24"/>
          <w:lang w:val="nl-NL" w:eastAsia="vi-VN"/>
        </w:rPr>
        <w:t>được quy định như sau:</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a)</w:t>
      </w:r>
      <w:r w:rsidRPr="00C77904">
        <w:rPr>
          <w:rFonts w:eastAsia="Times New Roman" w:cs="Times New Roman"/>
          <w:b/>
          <w:szCs w:val="24"/>
          <w:lang w:val="nl-NL" w:eastAsia="vi-VN"/>
        </w:rPr>
        <w:t xml:space="preserve"> </w:t>
      </w:r>
      <w:r w:rsidRPr="00C77904">
        <w:rPr>
          <w:rFonts w:eastAsia="Times New Roman" w:cs="Times New Roman"/>
          <w:szCs w:val="24"/>
          <w:lang w:val="nl-NL" w:eastAsia="vi-VN"/>
        </w:rPr>
        <w:t>Đối với hàng hoá,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b) Đối với hàng hóa nhập khẩu là giá nhập tại cửa khẩu cộng với thuế nhập khẩu (nếu có), cộng với thuế tiêu thụ đặc biệt (nếu có). Giá nhập tại cửa khẩu được xác định theo quy định về giá tính thuế hàng nhập khẩu;</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ab/>
        <w:t xml:space="preserve">c) Đối với hàng hóa, dịch vụ dùng để trao đổi, tiêu dùng nội bộ, biếu, tặng cho là giá tính thuế giá trị gia tăng của hàng hóa, dịch vụ cùng loại hoặc tương đương tại thời điểm phát sinh các hoạt động này; </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d) Đối với hoạt động cho thuê tài sản là số tiền cho thuê chưa có thuế giá trị gia tăng;</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Trường hợp cho thuê theo hình thức trả tiền thuê từng kỳ hoặc trả trước tiền thuê cho một thời hạn thuê thì giá tính thuế là tiền cho thuê trả từng kỳ hoặc trả trước cho thời hạn thuê chưa có thuế giá trị gia tăng;</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Trường hợp thuê máy móc, thiết bị, phương tiện vận tải của nước ngoài loại trong nước chưa sản xuất được để cho thuê lại, giá tính thuế được trừ giá thuê phải trả cho nước ngoài;</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đ) Đối với hàng hóa bán theo phương thức trả góp, trả chậm là giá tính theo giá bán trả một lần chưa có thuế giá trị gia tăng của hàng hoá đó, không bao gồm khoản lãi trả góp, lãi trả chậm;</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e) Đối với gia công hàng hoá là giá gia công chưa có thuế giá trị gia tăng;</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ab/>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rsidR="00C77904" w:rsidRPr="00C77904" w:rsidRDefault="00C77904" w:rsidP="00C77904">
      <w:pPr>
        <w:widowControl w:val="0"/>
        <w:spacing w:before="120" w:after="0" w:line="240" w:lineRule="auto"/>
        <w:ind w:firstLine="709"/>
        <w:jc w:val="both"/>
        <w:rPr>
          <w:rFonts w:eastAsia="Times New Roman" w:cs="Times New Roman"/>
          <w:strike/>
          <w:szCs w:val="24"/>
          <w:lang w:val="nl-NL" w:eastAsia="vi-VN"/>
        </w:rPr>
      </w:pPr>
      <w:r w:rsidRPr="00C77904">
        <w:rPr>
          <w:rFonts w:eastAsia="Times New Roman" w:cs="Times New Roman"/>
          <w:szCs w:val="24"/>
          <w:lang w:val="nl-NL" w:eastAsia="vi-VN"/>
        </w:rPr>
        <w:t>h) Đối với hoạt động kinh doanh bất động sản là giá bán bất động sản chưa có thuế giá trị gia tăng, trừ giá chuyển quyền sử dụng đất hoặc tiền thuê đất phải nộp ngân sách nhà nước;</w:t>
      </w:r>
    </w:p>
    <w:p w:rsidR="00C77904" w:rsidRPr="00C77904" w:rsidRDefault="00C77904" w:rsidP="00C77904">
      <w:pPr>
        <w:widowControl w:val="0"/>
        <w:spacing w:before="120" w:after="0" w:line="240" w:lineRule="auto"/>
        <w:ind w:firstLine="709"/>
        <w:jc w:val="both"/>
        <w:rPr>
          <w:rFonts w:eastAsia="Times New Roman" w:cs="Times New Roman"/>
          <w:spacing w:val="4"/>
          <w:szCs w:val="24"/>
          <w:lang w:val="nl-NL" w:eastAsia="vi-VN"/>
        </w:rPr>
      </w:pPr>
      <w:r w:rsidRPr="00C77904">
        <w:rPr>
          <w:rFonts w:eastAsia="Times New Roman" w:cs="Times New Roman"/>
          <w:szCs w:val="24"/>
          <w:lang w:val="nl-NL" w:eastAsia="vi-VN"/>
        </w:rPr>
        <w:t xml:space="preserve">i) </w:t>
      </w:r>
      <w:r w:rsidRPr="00C77904">
        <w:rPr>
          <w:rFonts w:eastAsia="Times New Roman" w:cs="Times New Roman"/>
          <w:spacing w:val="4"/>
          <w:szCs w:val="24"/>
          <w:lang w:val="nl-NL" w:eastAsia="vi-VN"/>
        </w:rPr>
        <w:t>Đối với hoạt động đại lý, môi giới mua bán hàng hoá và dịch vụ hưởng hoa hồng là tiền hoa hồng thu được từ các hoạt động này chưa có thuế giá trị gia tăng;</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r w:rsidRPr="00C77904">
        <w:rPr>
          <w:rFonts w:eastAsia="Times New Roman" w:cs="Times New Roman"/>
          <w:szCs w:val="24"/>
          <w:lang w:val="nl-NL" w:eastAsia="vi-VN"/>
        </w:rPr>
        <w:t xml:space="preserve">k) Đối với hàng hoá, dịch vụ được sử dụng chứng từ thanh toán ghi giá thanh toán là </w:t>
      </w:r>
      <w:r w:rsidRPr="00C77904">
        <w:rPr>
          <w:rFonts w:eastAsia="Times New Roman" w:cs="Times New Roman"/>
          <w:szCs w:val="24"/>
          <w:lang w:val="nl-NL" w:eastAsia="vi-VN"/>
        </w:rPr>
        <w:lastRenderedPageBreak/>
        <w:t xml:space="preserve">giá đã có thuế giá trị gia tăng thì giá tính thuế được xác định theo công thức sau: </w:t>
      </w:r>
    </w:p>
    <w:p w:rsidR="00C77904" w:rsidRPr="00C77904" w:rsidRDefault="00C77904" w:rsidP="00C77904">
      <w:pPr>
        <w:widowControl w:val="0"/>
        <w:spacing w:before="120" w:after="0" w:line="240" w:lineRule="auto"/>
        <w:ind w:firstLine="709"/>
        <w:jc w:val="both"/>
        <w:rPr>
          <w:rFonts w:eastAsia="Times New Roman" w:cs="Times New Roman"/>
          <w:szCs w:val="24"/>
          <w:lang w:val="nl-NL" w:eastAsia="vi-VN"/>
        </w:rPr>
      </w:pPr>
    </w:p>
    <w:tbl>
      <w:tblPr>
        <w:tblW w:w="0" w:type="auto"/>
        <w:tblInd w:w="648" w:type="dxa"/>
        <w:tblLook w:val="01E0" w:firstRow="1" w:lastRow="1" w:firstColumn="1" w:lastColumn="1" w:noHBand="0" w:noVBand="0"/>
      </w:tblPr>
      <w:tblGrid>
        <w:gridCol w:w="2580"/>
        <w:gridCol w:w="480"/>
        <w:gridCol w:w="4860"/>
      </w:tblGrid>
      <w:tr w:rsidR="00C77904" w:rsidRPr="00C77904" w:rsidTr="00C77904">
        <w:trPr>
          <w:trHeight w:val="1156"/>
        </w:trPr>
        <w:tc>
          <w:tcPr>
            <w:tcW w:w="2580" w:type="dxa"/>
            <w:vAlign w:val="center"/>
            <w:hideMark/>
          </w:tcPr>
          <w:p w:rsidR="00C77904" w:rsidRPr="00C77904" w:rsidRDefault="00C77904" w:rsidP="00C77904">
            <w:pPr>
              <w:widowControl w:val="0"/>
              <w:spacing w:after="0" w:line="240" w:lineRule="auto"/>
              <w:rPr>
                <w:rFonts w:eastAsia="Times New Roman" w:cs="Times New Roman"/>
                <w:szCs w:val="24"/>
                <w:lang w:val="nl-NL" w:eastAsia="vi-VN"/>
              </w:rPr>
            </w:pPr>
            <w:r w:rsidRPr="00C77904">
              <w:rPr>
                <w:rFonts w:eastAsia="Times New Roman" w:cs="Times New Roman"/>
                <w:szCs w:val="24"/>
                <w:lang w:val="nl-NL" w:eastAsia="vi-VN"/>
              </w:rPr>
              <w:t>Giá chưa có thuế</w:t>
            </w:r>
          </w:p>
          <w:p w:rsidR="00C77904" w:rsidRPr="00C77904" w:rsidRDefault="00C77904" w:rsidP="00C77904">
            <w:pPr>
              <w:widowControl w:val="0"/>
              <w:spacing w:after="0" w:line="240" w:lineRule="auto"/>
              <w:rPr>
                <w:rFonts w:eastAsia="Times New Roman" w:cs="Times New Roman"/>
                <w:szCs w:val="24"/>
                <w:lang w:val="nl-NL" w:eastAsia="vi-VN"/>
              </w:rPr>
            </w:pPr>
            <w:r w:rsidRPr="00C77904">
              <w:rPr>
                <w:rFonts w:eastAsia="Times New Roman" w:cs="Times New Roman"/>
                <w:szCs w:val="24"/>
                <w:lang w:val="nl-NL" w:eastAsia="vi-VN"/>
              </w:rPr>
              <w:t>giá trị gia tăng</w:t>
            </w:r>
          </w:p>
        </w:tc>
        <w:tc>
          <w:tcPr>
            <w:tcW w:w="480" w:type="dxa"/>
          </w:tcPr>
          <w:p w:rsidR="00C77904" w:rsidRPr="00C77904" w:rsidRDefault="00C77904" w:rsidP="00C77904">
            <w:pPr>
              <w:widowControl w:val="0"/>
              <w:spacing w:after="0" w:line="240" w:lineRule="auto"/>
              <w:jc w:val="both"/>
              <w:rPr>
                <w:rFonts w:eastAsia="Times New Roman" w:cs="Times New Roman"/>
                <w:szCs w:val="24"/>
                <w:lang w:val="nl-NL" w:eastAsia="vi-VN"/>
              </w:rPr>
            </w:pPr>
          </w:p>
          <w:p w:rsidR="00C77904" w:rsidRPr="00C77904" w:rsidRDefault="00C77904" w:rsidP="00C77904">
            <w:pPr>
              <w:widowControl w:val="0"/>
              <w:spacing w:after="0" w:line="120" w:lineRule="auto"/>
              <w:jc w:val="both"/>
              <w:rPr>
                <w:rFonts w:eastAsia="Times New Roman" w:cs="Times New Roman"/>
                <w:szCs w:val="24"/>
                <w:lang w:val="nl-NL" w:eastAsia="vi-VN"/>
              </w:rPr>
            </w:pPr>
          </w:p>
          <w:p w:rsidR="00C77904" w:rsidRPr="00C77904" w:rsidRDefault="00C77904" w:rsidP="00C77904">
            <w:pPr>
              <w:widowControl w:val="0"/>
              <w:spacing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w:t>
            </w:r>
          </w:p>
        </w:tc>
        <w:tc>
          <w:tcPr>
            <w:tcW w:w="4860" w:type="dxa"/>
          </w:tcPr>
          <w:p w:rsidR="00C77904" w:rsidRPr="00C77904" w:rsidRDefault="00C77904" w:rsidP="00C77904">
            <w:pPr>
              <w:widowControl w:val="0"/>
              <w:spacing w:after="0" w:line="240" w:lineRule="auto"/>
              <w:jc w:val="both"/>
              <w:rPr>
                <w:rFonts w:eastAsia="Times New Roman" w:cs="Times New Roman"/>
                <w:szCs w:val="24"/>
                <w:lang w:val="nl-NL" w:eastAsia="vi-VN"/>
              </w:rPr>
            </w:pPr>
          </w:p>
          <w:p w:rsidR="00C77904" w:rsidRPr="00C77904" w:rsidRDefault="00C77904" w:rsidP="00C77904">
            <w:pPr>
              <w:widowControl w:val="0"/>
              <w:spacing w:after="0" w:line="240" w:lineRule="auto"/>
              <w:jc w:val="center"/>
              <w:rPr>
                <w:rFonts w:eastAsia="Times New Roman" w:cs="Times New Roman"/>
                <w:szCs w:val="24"/>
                <w:lang w:val="nl-NL" w:eastAsia="vi-VN"/>
              </w:rPr>
            </w:pPr>
            <w:r w:rsidRPr="00C77904">
              <w:rPr>
                <w:rFonts w:eastAsia="Times New Roman" w:cs="Times New Roman"/>
                <w:szCs w:val="24"/>
                <w:lang w:val="nl-NL" w:eastAsia="vi-VN"/>
              </w:rPr>
              <w:t>Giá thanh toán</w:t>
            </w:r>
          </w:p>
          <w:p w:rsidR="00C77904" w:rsidRPr="00C77904" w:rsidRDefault="00C77904" w:rsidP="00C77904">
            <w:pPr>
              <w:widowControl w:val="0"/>
              <w:spacing w:after="0" w:line="120" w:lineRule="auto"/>
              <w:jc w:val="both"/>
              <w:rPr>
                <w:rFonts w:eastAsia="Times New Roman" w:cs="Times New Roman"/>
                <w:szCs w:val="24"/>
                <w:lang w:val="nl-NL" w:eastAsia="vi-VN"/>
              </w:rPr>
            </w:pPr>
            <w:r w:rsidRPr="00C77904">
              <w:rPr>
                <w:rFonts w:eastAsia="Times New Roman" w:cs="Times New Roman"/>
                <w:noProof/>
                <w:szCs w:val="24"/>
                <w:lang w:eastAsia="vi-V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3022600" cy="0"/>
                      <wp:effectExtent l="9525" t="9525" r="6350" b="952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2BA40" id="Straight Connector 10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GuHwIAADo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"/>
                  </w:pict>
                </mc:Fallback>
              </mc:AlternateContent>
            </w:r>
            <w:r w:rsidRPr="00C77904">
              <w:rPr>
                <w:rFonts w:eastAsia="Times New Roman" w:cs="Times New Roman"/>
                <w:szCs w:val="24"/>
                <w:lang w:val="nl-NL" w:eastAsia="vi-VN"/>
              </w:rPr>
              <w:t xml:space="preserve">      </w:t>
            </w:r>
          </w:p>
          <w:p w:rsidR="00C77904" w:rsidRPr="00C77904" w:rsidRDefault="00C77904" w:rsidP="00C77904">
            <w:pPr>
              <w:widowControl w:val="0"/>
              <w:spacing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 xml:space="preserve">        1 +  thuế suất của hàng hoá, dịch vụ (%)</w:t>
            </w:r>
          </w:p>
        </w:tc>
      </w:tr>
    </w:tbl>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 xml:space="preserve">2. Giá tính thuế đối với hàng hoá, dịch vụ quy định tại khoản 1 Điều này bao gồm cả khoản phụ thu và phí thu thêm mà cơ sở kinh doanh được hưởng. </w:t>
      </w:r>
    </w:p>
    <w:p w:rsidR="00C77904" w:rsidRPr="00C77904" w:rsidRDefault="00C77904" w:rsidP="00C77904">
      <w:pPr>
        <w:widowControl w:val="0"/>
        <w:tabs>
          <w:tab w:val="left" w:pos="720"/>
        </w:tabs>
        <w:spacing w:before="120" w:after="0" w:line="240" w:lineRule="auto"/>
        <w:jc w:val="both"/>
        <w:rPr>
          <w:rFonts w:eastAsia="Times New Roman" w:cs="Times New Roman"/>
          <w:spacing w:val="-4"/>
          <w:szCs w:val="24"/>
          <w:vertAlign w:val="subscript"/>
          <w:lang w:val="nl-NL" w:eastAsia="vi-VN"/>
        </w:rPr>
      </w:pPr>
      <w:r w:rsidRPr="00C77904">
        <w:rPr>
          <w:rFonts w:eastAsia="Times New Roman" w:cs="Times New Roman"/>
          <w:szCs w:val="24"/>
          <w:lang w:val="nl-NL" w:eastAsia="vi-VN"/>
        </w:rPr>
        <w:tab/>
        <w:t>3. Giá tính thuế được xác định bằng đồng Việt Nam. Trường hợp người nộp thuế có doanh thu bằng ngoại tệ thì phải quy đổi ra đồng Việt Nam theo tỷ giá giao dịch bình quân trên thị trường ngoại tệ liên ngân hàng</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do Ngân hàng Nhà nước Việt Nam công bố tại thời điểm phát sinh doanh thu để xác định giá tính thuế.</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r>
      <w:r w:rsidRPr="00C77904">
        <w:rPr>
          <w:rFonts w:eastAsia="Times New Roman" w:cs="Times New Roman"/>
          <w:b/>
          <w:szCs w:val="24"/>
          <w:lang w:val="nl-NL" w:eastAsia="vi-VN"/>
        </w:rPr>
        <w:t xml:space="preserve">Điều 8. Thuế suất </w:t>
      </w:r>
      <w:r w:rsidRPr="00C77904">
        <w:rPr>
          <w:rFonts w:eastAsia="Times New Roman" w:cs="Times New Roman"/>
          <w:szCs w:val="24"/>
          <w:lang w:val="nl-NL" w:eastAsia="vi-VN"/>
        </w:rPr>
        <w:t xml:space="preserve">        </w:t>
      </w: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1. Mức thuế suất 0% áp dụng đối với hàng hóa, dịch vụ xuất khẩu, vận tải quốc tế và hàng hóa, dịch vụ không chịu thuế giá trị gia tăng quy định tại Điều 5 của Luật này khi xuất khẩu, trừ các trường hợp chuyển giao công nghệ, chuyển nhượng quyền sở hữu trí tuệ ra nước ngoài; dịch vụ tái bảo hiểm ra nước ngoài; dịch vụ cấp tín dụng, chuyển nhượng vốn, dịch vụ tài chính phái sinh; dịch vụ bưu chính, viễn thông; sản phẩm xuất khẩu là tài nguyên, khoáng sản khai thác chưa qua chế biến quy định tại khoản 23 Điều 5 của Luật này.</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2. Mức thuế suất 5% áp dụng đối với hàng hoá, dịch vụ sau đây:</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trike/>
          <w:szCs w:val="24"/>
          <w:lang w:val="nl-NL" w:eastAsia="vi-VN"/>
        </w:rPr>
      </w:pPr>
      <w:r w:rsidRPr="00C77904">
        <w:rPr>
          <w:rFonts w:eastAsia="Times New Roman" w:cs="Times New Roman"/>
          <w:szCs w:val="24"/>
          <w:lang w:val="nl-NL" w:eastAsia="vi-VN"/>
        </w:rPr>
        <w:t>a) Nước sạch phục vụ sản xuất và sinh hoạt;</w:t>
      </w:r>
      <w:r w:rsidRPr="00C77904">
        <w:rPr>
          <w:rFonts w:eastAsia="Times New Roman" w:cs="Times New Roman"/>
          <w:strike/>
          <w:szCs w:val="24"/>
          <w:lang w:val="nl-NL" w:eastAsia="vi-VN"/>
        </w:rPr>
        <w:t xml:space="preserve"> </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b) Phân bón; quặng để sản xuất phân bón; thuốc phòng trừ sâu bệnh và chất kích thích tăng trưởng vật nuôi, cây trồng;</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c) Thức ăn gia súc, gia cầm và thức ăn cho vật nuôi khác;</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d) Dịch vụ đào đắp, nạo vét kênh, mương, ao hồ phục vụ sản xuất nông nghiệp; nuôi trồng, chăm sóc, phòng trừ sâu bệnh cho cây trồng; sơ chế, bảo quản sản phẩm nông nghiệp;</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 xml:space="preserve">đ) Sản phẩm trồng trọt, chăn nuôi, thuỷ sản chưa qua chế biến, trừ sản phẩm quy định tại khoản 1 Điều 5 của Luật này; </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 xml:space="preserve">e) Mủ cao su sơ chế; nhựa thông sơ chế; lưới, dây giềng và sợi để đan lưới đánh cá; </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 xml:space="preserve">g) Thực phẩm tươi sống; lâm sản chưa qua chế biến, trừ gỗ, măng và sản phẩm quy định tại khoản 1 Điều 5 của Luật này; </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pacing w:val="10"/>
          <w:szCs w:val="24"/>
          <w:lang w:val="nl-NL" w:eastAsia="vi-VN"/>
        </w:rPr>
      </w:pPr>
      <w:r w:rsidRPr="00C77904">
        <w:rPr>
          <w:rFonts w:eastAsia="Times New Roman" w:cs="Times New Roman"/>
          <w:szCs w:val="24"/>
          <w:lang w:val="nl-NL" w:eastAsia="vi-VN"/>
        </w:rPr>
        <w:t xml:space="preserve">h) </w:t>
      </w:r>
      <w:r w:rsidRPr="00C77904">
        <w:rPr>
          <w:rFonts w:eastAsia="Times New Roman" w:cs="Times New Roman"/>
          <w:spacing w:val="10"/>
          <w:szCs w:val="24"/>
          <w:lang w:val="nl-NL" w:eastAsia="vi-VN"/>
        </w:rPr>
        <w:t>Đường; phụ phẩm trong sản xuất đường, bao gồm gỉ đường, bã mía, bã bùn;</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i) Sản phẩm bằng đay, cói, tre, nứa, lá, rơm, vỏ dừa, sọ dừa, bèo tây và các sản phẩm thủ công khác sản xuất bằng nguyên liệu tận dụng từ nông nghiệp; bông sơ chế; giấy in báo;</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k) Máy móc, thiết bị chuyên dùng phục vụ cho sản xuất nông nghiệp, bao</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 xml:space="preserve">gồm máy cày, máy bừa, máy cấy, máy gieo hạt, máy tuốt lúa, máy gặt, máy gặt đập liên hợp, máy thu hoạch sản phẩm nông nghiệp, máy hoặc bình bơm thuốc trừ sâu; </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l) Thiết bị, dụng cụ y tế; bông, băng vệ sinh y tế; thuốc phòng bệnh, chữa bệnh; sản phẩm hóa dược, dược liệu là nguyên liệu sản xuất thuốc chữa bệnh, thuốc phòng bệnh;</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m) Giáo cụ dùng để giảng dạy và học tập, bao</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gồm các loại mô hình, hình vẽ, bảng, phấn, thước kẻ, com-pa và các loại thiết bị, dụng cụ chuyên dùng cho giảng dạy, nghiên cứu, thí nghiệm khoa học;</w:t>
      </w: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lastRenderedPageBreak/>
        <w:t>n) Hoạt động văn hoá, triển lãm, thể dục, thể thao; biểu diễn nghệ thuật; sản xuất phim; nhập khẩu, phát hành và chiếu phim;</w:t>
      </w: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o) Đồ chơi cho trẻ em; sách các loại, trừ sách quy định tại khoản 15 Điều 5 của Luật này; </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pacing w:val="-10"/>
          <w:szCs w:val="24"/>
          <w:lang w:val="nl-NL" w:eastAsia="vi-VN"/>
        </w:rPr>
      </w:pPr>
      <w:r w:rsidRPr="00C77904">
        <w:rPr>
          <w:rFonts w:eastAsia="Times New Roman" w:cs="Times New Roman"/>
          <w:spacing w:val="-10"/>
          <w:szCs w:val="24"/>
          <w:lang w:val="nl-NL" w:eastAsia="vi-VN"/>
        </w:rPr>
        <w:t>p) Dịch vụ khoa học, công nghệ theo quy định của Luật khoa học và công nghệ.</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3. Mức thuế suất 10% áp dụng đối với hàng hoá, dịch vụ</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không quy định tại khoản 1 và khoản 2 Điều này.</w:t>
      </w:r>
    </w:p>
    <w:p w:rsidR="00C77904" w:rsidRPr="00C77904" w:rsidRDefault="00C77904" w:rsidP="00C77904">
      <w:pPr>
        <w:widowControl w:val="0"/>
        <w:tabs>
          <w:tab w:val="left" w:pos="720"/>
        </w:tabs>
        <w:overflowPunct w:val="0"/>
        <w:adjustRightInd w:val="0"/>
        <w:spacing w:before="120" w:after="0" w:line="240" w:lineRule="auto"/>
        <w:ind w:firstLine="720"/>
        <w:jc w:val="both"/>
        <w:outlineLvl w:val="0"/>
        <w:rPr>
          <w:rFonts w:eastAsia="Times New Roman" w:cs="Times New Roman"/>
          <w:b/>
          <w:szCs w:val="24"/>
          <w:lang w:val="nl-NL" w:eastAsia="vi-VN"/>
        </w:rPr>
      </w:pPr>
      <w:r w:rsidRPr="00C77904">
        <w:rPr>
          <w:rFonts w:eastAsia="Times New Roman" w:cs="Times New Roman"/>
          <w:b/>
          <w:szCs w:val="24"/>
          <w:lang w:val="nl-NL" w:eastAsia="vi-VN"/>
        </w:rPr>
        <w:t>Điều 9. Phương pháp tính thuế</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 Phương pháp tính thuế giá trị gia tăng gồm phương pháp khấu trừ thuế giá trị gia tăng và phương pháp tính trực tiếp trên giá trị gia tăng.</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b/>
          <w:szCs w:val="24"/>
          <w:lang w:val="nl-NL" w:eastAsia="vi-VN"/>
        </w:rPr>
      </w:pPr>
      <w:r w:rsidRPr="00C77904">
        <w:rPr>
          <w:rFonts w:eastAsia="Times New Roman" w:cs="Times New Roman"/>
          <w:b/>
          <w:szCs w:val="24"/>
          <w:lang w:val="nl-NL" w:eastAsia="vi-VN"/>
        </w:rPr>
        <w:tab/>
        <w:t xml:space="preserve">Điều 10. Phương pháp khấu trừ thuế </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szCs w:val="24"/>
          <w:lang w:val="nl-NL" w:eastAsia="vi-VN"/>
        </w:rPr>
      </w:pPr>
      <w:r w:rsidRPr="00C77904">
        <w:rPr>
          <w:rFonts w:eastAsia="Times New Roman" w:cs="Times New Roman"/>
          <w:b/>
          <w:szCs w:val="24"/>
          <w:lang w:val="nl-NL" w:eastAsia="vi-VN"/>
        </w:rPr>
        <w:tab/>
      </w:r>
      <w:r w:rsidRPr="00C77904">
        <w:rPr>
          <w:rFonts w:eastAsia="Times New Roman" w:cs="Times New Roman"/>
          <w:szCs w:val="24"/>
          <w:lang w:val="nl-NL" w:eastAsia="vi-VN"/>
        </w:rPr>
        <w:t>1. Phương pháp khấu trừ thuế giá trị gia tăng được quy định như sau:</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a)</w:t>
      </w:r>
      <w:r w:rsidRPr="00C77904">
        <w:rPr>
          <w:rFonts w:eastAsia="Times New Roman" w:cs="Times New Roman"/>
          <w:b/>
          <w:i/>
          <w:szCs w:val="24"/>
          <w:lang w:val="nl-NL" w:eastAsia="vi-VN"/>
        </w:rPr>
        <w:t xml:space="preserve"> </w:t>
      </w:r>
      <w:r w:rsidRPr="00C77904">
        <w:rPr>
          <w:rFonts w:eastAsia="Times New Roman" w:cs="Times New Roman"/>
          <w:szCs w:val="24"/>
          <w:lang w:val="nl-NL" w:eastAsia="vi-VN"/>
        </w:rPr>
        <w:t>Số thuế giá trị gia tăng phải nộp theo phương pháp khấu trừ thuế bằng số thuế giá trị gia tăng đầu ra trừ số thuế giá trị gia tăng đầu vào được khấu trừ;</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b/>
          <w:i/>
          <w:szCs w:val="24"/>
          <w:lang w:val="nl-NL" w:eastAsia="vi-VN"/>
        </w:rPr>
        <w:tab/>
      </w:r>
      <w:r w:rsidRPr="00C77904">
        <w:rPr>
          <w:rFonts w:eastAsia="Times New Roman" w:cs="Times New Roman"/>
          <w:szCs w:val="24"/>
          <w:lang w:val="nl-NL" w:eastAsia="vi-VN"/>
        </w:rPr>
        <w:t>b)</w:t>
      </w:r>
      <w:r w:rsidRPr="00C77904">
        <w:rPr>
          <w:rFonts w:eastAsia="Times New Roman" w:cs="Times New Roman"/>
          <w:b/>
          <w:i/>
          <w:szCs w:val="24"/>
          <w:lang w:val="nl-NL" w:eastAsia="vi-VN"/>
        </w:rPr>
        <w:t xml:space="preserve"> </w:t>
      </w:r>
      <w:r w:rsidRPr="00C77904">
        <w:rPr>
          <w:rFonts w:eastAsia="Times New Roman" w:cs="Times New Roman"/>
          <w:szCs w:val="24"/>
          <w:lang w:val="nl-NL" w:eastAsia="vi-VN"/>
        </w:rPr>
        <w:t xml:space="preserve">Số thuế giá trị gia tăng đầu ra bằng tổng số thuế giá trị gia tăng của hàng hoá, dịch vụ bán ra ghi trên hoá đơn giá trị gia tăng; </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c)</w:t>
      </w:r>
      <w:r w:rsidRPr="00C77904">
        <w:rPr>
          <w:rFonts w:eastAsia="Times New Roman" w:cs="Times New Roman"/>
          <w:b/>
          <w:i/>
          <w:szCs w:val="24"/>
          <w:lang w:val="nl-NL" w:eastAsia="vi-VN"/>
        </w:rPr>
        <w:t xml:space="preserve"> </w:t>
      </w:r>
      <w:r w:rsidRPr="00C77904">
        <w:rPr>
          <w:rFonts w:eastAsia="Times New Roman" w:cs="Times New Roman"/>
          <w:szCs w:val="24"/>
          <w:lang w:val="nl-NL" w:eastAsia="vi-VN"/>
        </w:rPr>
        <w:t>Số thuế giá trị gia tăng đầu vào được khấu trừ bằng tổng số thuế giá trị gia tăng ghi trên hóa đơn giá trị gia tăng mua hàng hóa, dịch vụ, chứng từ nộp thuế giá trị gia tăng của hàng hóa nhập khẩu và đáp ứng điều kiện quy định tại Điều 12 của Luật này.</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b/>
          <w:i/>
          <w:szCs w:val="24"/>
          <w:lang w:val="nl-NL" w:eastAsia="vi-VN"/>
        </w:rPr>
        <w:tab/>
      </w:r>
      <w:r w:rsidRPr="00C77904">
        <w:rPr>
          <w:rFonts w:eastAsia="Times New Roman" w:cs="Times New Roman"/>
          <w:szCs w:val="24"/>
          <w:lang w:val="nl-NL" w:eastAsia="vi-VN"/>
        </w:rPr>
        <w:t>2. Phương pháp khấu trừ thuế áp dụng đối với cơ sở kinh doanh thực hiện đầy đủ chế độ kế toán, hoá đơn, chứng từ theo quy định của pháp luật về kế toán, hoá đơn, chứng từ và đăng ký nộp thuế theo phương pháp khấu trừ thuế.</w:t>
      </w:r>
    </w:p>
    <w:p w:rsidR="00C77904" w:rsidRPr="00C77904" w:rsidRDefault="00C77904" w:rsidP="00C77904">
      <w:pPr>
        <w:widowControl w:val="0"/>
        <w:tabs>
          <w:tab w:val="left" w:pos="720"/>
        </w:tabs>
        <w:spacing w:before="120" w:after="0" w:line="240" w:lineRule="auto"/>
        <w:jc w:val="both"/>
        <w:rPr>
          <w:rFonts w:eastAsia="Times New Roman" w:cs="Times New Roman"/>
          <w:b/>
          <w:szCs w:val="24"/>
          <w:lang w:val="nl-NL" w:eastAsia="vi-VN"/>
        </w:rPr>
      </w:pPr>
      <w:r w:rsidRPr="00C77904">
        <w:rPr>
          <w:rFonts w:eastAsia="Times New Roman" w:cs="Times New Roman"/>
          <w:b/>
          <w:szCs w:val="24"/>
          <w:lang w:val="nl-NL" w:eastAsia="vi-VN"/>
        </w:rPr>
        <w:tab/>
        <w:t>Điều 11</w:t>
      </w:r>
      <w:r w:rsidRPr="00C77904">
        <w:rPr>
          <w:rFonts w:eastAsia="Times New Roman" w:cs="Times New Roman"/>
          <w:b/>
          <w:i/>
          <w:szCs w:val="24"/>
          <w:lang w:val="nl-NL" w:eastAsia="vi-VN"/>
        </w:rPr>
        <w:t xml:space="preserve">. </w:t>
      </w:r>
      <w:r w:rsidRPr="00C77904">
        <w:rPr>
          <w:rFonts w:eastAsia="Times New Roman" w:cs="Times New Roman"/>
          <w:b/>
          <w:szCs w:val="24"/>
          <w:lang w:val="nl-NL" w:eastAsia="vi-VN"/>
        </w:rPr>
        <w:t>Phương pháp tính trực tiếp trên giá trị gia tăng</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b/>
          <w:szCs w:val="24"/>
          <w:lang w:val="nl-NL" w:eastAsia="vi-VN"/>
        </w:rPr>
        <w:tab/>
      </w:r>
      <w:r w:rsidRPr="00C77904">
        <w:rPr>
          <w:rFonts w:eastAsia="Times New Roman" w:cs="Times New Roman"/>
          <w:szCs w:val="24"/>
          <w:lang w:val="nl-NL" w:eastAsia="vi-VN"/>
        </w:rPr>
        <w:t>1. Phương pháp tính trực tiếp trên giá trị gia tăng được quy định như sau:</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a) Số thuế giá trị gia tăng phải nộp theo phương pháp tính trực tiếp trên giá trị gia tăng bằng giá trị gia tăng của hàng hóa, dịch vụ bán ra nhân với thuế suất thuế giá trị gia tăng;</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b) Giá trị gia tăng được xác định bằng giá thanh toán của hàng hóa, dịch vụ bán ra trừ giá thanh toán của hàng hóa, dịch vụ mua vào tương ứng.</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2. Phương pháp tính trực tiếp trên giá trị gia tăng áp dụng đối với các trường hợp sau đây:</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a) Cơ sở kinh doanh và tổ chức, cá nhân nước ngoài kinh doanh không có cơ sở thường trú tại Việt Nam nhưng có thu nhập phát sinh tại Việt Nam chưa thực hiện đầy đủ chế độ kế toán, hoá đơn, chứng từ;</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 xml:space="preserve"> </w:t>
      </w:r>
      <w:r w:rsidRPr="00C77904">
        <w:rPr>
          <w:rFonts w:eastAsia="Times New Roman" w:cs="Times New Roman"/>
          <w:szCs w:val="24"/>
          <w:lang w:val="nl-NL" w:eastAsia="vi-VN"/>
        </w:rPr>
        <w:tab/>
        <w:t>b) Hoạt động mua bán vàng, bạc, đá quý.</w:t>
      </w:r>
    </w:p>
    <w:p w:rsidR="00C77904" w:rsidRPr="00C77904" w:rsidRDefault="00C77904" w:rsidP="00C77904">
      <w:pPr>
        <w:widowControl w:val="0"/>
        <w:tabs>
          <w:tab w:val="left" w:pos="720"/>
        </w:tabs>
        <w:overflowPunct w:val="0"/>
        <w:adjustRightInd w:val="0"/>
        <w:spacing w:after="0" w:line="240" w:lineRule="auto"/>
        <w:jc w:val="center"/>
        <w:outlineLvl w:val="0"/>
        <w:rPr>
          <w:rFonts w:eastAsia="Times New Roman" w:cs="Times New Roman"/>
          <w:szCs w:val="24"/>
          <w:lang w:val="nl-NL" w:eastAsia="vi-VN"/>
        </w:rPr>
      </w:pPr>
    </w:p>
    <w:p w:rsidR="00C77904" w:rsidRPr="00C77904" w:rsidRDefault="00C77904" w:rsidP="00C77904">
      <w:pPr>
        <w:widowControl w:val="0"/>
        <w:tabs>
          <w:tab w:val="left" w:pos="720"/>
        </w:tabs>
        <w:overflowPunct w:val="0"/>
        <w:adjustRightInd w:val="0"/>
        <w:spacing w:after="0" w:line="240" w:lineRule="auto"/>
        <w:jc w:val="center"/>
        <w:outlineLvl w:val="0"/>
        <w:rPr>
          <w:rFonts w:eastAsia="Times New Roman" w:cs="Times New Roman"/>
          <w:b/>
          <w:szCs w:val="24"/>
          <w:lang w:val="nl-NL" w:eastAsia="vi-VN"/>
        </w:rPr>
      </w:pPr>
      <w:r w:rsidRPr="00C77904">
        <w:rPr>
          <w:rFonts w:eastAsia="Times New Roman" w:cs="Times New Roman"/>
          <w:b/>
          <w:szCs w:val="24"/>
          <w:lang w:val="nl-NL" w:eastAsia="vi-VN"/>
        </w:rPr>
        <w:t>Chương III</w:t>
      </w:r>
    </w:p>
    <w:p w:rsidR="00C77904" w:rsidRPr="00C77904" w:rsidRDefault="00C77904" w:rsidP="00C77904">
      <w:pPr>
        <w:widowControl w:val="0"/>
        <w:tabs>
          <w:tab w:val="left" w:pos="720"/>
        </w:tabs>
        <w:overflowPunct w:val="0"/>
        <w:adjustRightInd w:val="0"/>
        <w:spacing w:after="0" w:line="240" w:lineRule="auto"/>
        <w:jc w:val="center"/>
        <w:outlineLvl w:val="0"/>
        <w:rPr>
          <w:rFonts w:eastAsia="Times New Roman" w:cs="Times New Roman"/>
          <w:b/>
          <w:szCs w:val="24"/>
          <w:lang w:val="nl-NL" w:eastAsia="vi-VN"/>
        </w:rPr>
      </w:pPr>
      <w:r w:rsidRPr="00C77904">
        <w:rPr>
          <w:rFonts w:eastAsia="Times New Roman" w:cs="Times New Roman"/>
          <w:b/>
          <w:szCs w:val="24"/>
          <w:lang w:val="nl-NL" w:eastAsia="vi-VN"/>
        </w:rPr>
        <w:t>KHẤU TRỪ, HOÀN THUẾ</w:t>
      </w:r>
    </w:p>
    <w:p w:rsidR="00C77904" w:rsidRPr="00C77904" w:rsidRDefault="00C77904" w:rsidP="00C77904">
      <w:pPr>
        <w:widowControl w:val="0"/>
        <w:tabs>
          <w:tab w:val="left" w:pos="720"/>
        </w:tabs>
        <w:overflowPunct w:val="0"/>
        <w:adjustRightInd w:val="0"/>
        <w:spacing w:before="120" w:after="0" w:line="240" w:lineRule="auto"/>
        <w:ind w:firstLine="720"/>
        <w:jc w:val="both"/>
        <w:outlineLvl w:val="0"/>
        <w:rPr>
          <w:rFonts w:eastAsia="Times New Roman" w:cs="Times New Roman"/>
          <w:b/>
          <w:szCs w:val="24"/>
          <w:lang w:val="nl-NL" w:eastAsia="vi-VN"/>
        </w:rPr>
      </w:pPr>
      <w:r w:rsidRPr="00C77904">
        <w:rPr>
          <w:rFonts w:eastAsia="Times New Roman" w:cs="Times New Roman"/>
          <w:b/>
          <w:szCs w:val="24"/>
          <w:lang w:val="nl-NL" w:eastAsia="vi-VN"/>
        </w:rPr>
        <w:t>Điều 12. Khấu trừ thuế giá trị gia tăng đầu vào</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1. Cơ sở kinh doanh nộp thuế giá trị gia tăng theo phương pháp khấu trừ thuế được khấu trừ thuế giá trị gia tăng đầu vào như sau:</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pacing w:val="-4"/>
          <w:szCs w:val="24"/>
          <w:lang w:val="nl-NL" w:eastAsia="vi-VN"/>
        </w:rPr>
      </w:pPr>
      <w:r w:rsidRPr="00C77904">
        <w:rPr>
          <w:rFonts w:eastAsia="Times New Roman" w:cs="Times New Roman"/>
          <w:spacing w:val="-4"/>
          <w:szCs w:val="24"/>
          <w:lang w:val="nl-NL" w:eastAsia="vi-VN"/>
        </w:rPr>
        <w:t xml:space="preserve">a) Thuế giá trị gia tăng đầu vào của hàng hóa, dịch vụ sử dụng cho sản xuất, kinh doanh </w:t>
      </w:r>
      <w:r w:rsidRPr="00C77904">
        <w:rPr>
          <w:rFonts w:eastAsia="Times New Roman" w:cs="Times New Roman"/>
          <w:spacing w:val="-4"/>
          <w:szCs w:val="24"/>
          <w:lang w:val="nl-NL" w:eastAsia="vi-VN"/>
        </w:rPr>
        <w:lastRenderedPageBreak/>
        <w:t>hàng hóa, dịch vụ chịu thuế giá trị gia tăng được khấu trừ toàn bộ;</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b) Thuế giá trị gia tăng đầu vào của hàng hoá, dịch vụ sử dụng đồng thời cho sản xuất, kinh doanh hàng hóa, dịch vụ chịu thuế và không chịu thuế thì chỉ được khấu trừ số thuế giá trị gia tăng đầu vào của hàng hoá, dịch vụ sử dụng cho sản xuất, kinh doanh hàng hóa, dịch vụ chịu thuế giá trị gia tăng. Trường hợp thuế giá trị gia tăng đầu vào của tài sản cố định sử dụng đồng thời cho sản xuất, kinh doanh hàng hóa, dịch vụ chịu thuế giá trị gia tăng và không chịu thuế giá trị gia tăng thì được khấu trừ toàn bộ;</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c) Thuế giá trị gia tăng đầu vào của hàng hoá, dịch vụ bán cho tổ chức, cá nhân sử dụng nguồn vốn viện trợ nhân đạo, viện trợ không hoàn lại được khấu trừ toàn bộ;</w:t>
      </w:r>
    </w:p>
    <w:p w:rsidR="00C77904" w:rsidRPr="00C77904" w:rsidRDefault="00C77904" w:rsidP="00C77904">
      <w:pPr>
        <w:widowControl w:val="0"/>
        <w:tabs>
          <w:tab w:val="left" w:pos="720"/>
        </w:tabs>
        <w:spacing w:before="120" w:after="0" w:line="240" w:lineRule="auto"/>
        <w:ind w:firstLine="748"/>
        <w:jc w:val="both"/>
        <w:rPr>
          <w:rFonts w:eastAsia="Times New Roman" w:cs="Times New Roman"/>
          <w:szCs w:val="24"/>
          <w:lang w:val="nl-NL" w:eastAsia="vi-VN"/>
        </w:rPr>
      </w:pPr>
      <w:r w:rsidRPr="00C77904">
        <w:rPr>
          <w:rFonts w:eastAsia="Times New Roman" w:cs="Times New Roman"/>
          <w:szCs w:val="24"/>
          <w:lang w:val="nl-NL" w:eastAsia="vi-VN"/>
        </w:rPr>
        <w:t>d)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thời gian để kê khai, bổ sung tối đa là sáu tháng, kể từ thời điểm phát sinh sai sót.</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2.</w:t>
      </w:r>
      <w:r w:rsidRPr="00C77904">
        <w:rPr>
          <w:rFonts w:eastAsia="Times New Roman" w:cs="Times New Roman"/>
          <w:i/>
          <w:szCs w:val="24"/>
          <w:lang w:val="nl-NL" w:eastAsia="vi-VN"/>
        </w:rPr>
        <w:t xml:space="preserve"> </w:t>
      </w:r>
      <w:r w:rsidRPr="00C77904">
        <w:rPr>
          <w:rFonts w:eastAsia="Times New Roman" w:cs="Times New Roman"/>
          <w:szCs w:val="24"/>
          <w:lang w:val="nl-NL" w:eastAsia="vi-VN"/>
        </w:rPr>
        <w:t xml:space="preserve">Điều kiện khấu trừ thuế </w:t>
      </w:r>
      <w:r w:rsidRPr="00C77904">
        <w:rPr>
          <w:rFonts w:eastAsia="SimSun" w:cs="Times New Roman"/>
          <w:szCs w:val="24"/>
          <w:lang w:val="nl-NL" w:eastAsia="vi-VN"/>
        </w:rPr>
        <w:t>giá trị gia tăng</w:t>
      </w:r>
      <w:r w:rsidRPr="00C77904">
        <w:rPr>
          <w:rFonts w:eastAsia="Times New Roman" w:cs="Times New Roman"/>
          <w:szCs w:val="24"/>
          <w:lang w:val="nl-NL" w:eastAsia="vi-VN"/>
        </w:rPr>
        <w:t xml:space="preserve"> đầu vào được quy định như sau:</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a) Có hoá đơn giá trị gia tăng mua hàng hoá, dịch vụ hoặc chứng từ nộp thuế giá trị gia tăng ở khâu nhập khẩu; </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b) Có chứng từ thanh toán qua ngân hàng đối với hàng hóa, dịch vụ mua vào, trừ hàng hoá, dịch vụ mua từng lần có giá trị dưới hai mươi triệu đồng; </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c) Đối với hàng hoá, dịch vụ xuất khẩu, ngoài các điều kiện quy định tại điểm a và điểm b khoản này phải có hợp đồng ký kết với bên nước ngoài về việc bán, gia công hàng hoá, cung ứng dịch vụ, hoá đơn bán hàng hoá, dịch vụ, chứng từ thanh toán qua ngân hàng, tờ khai hải quan đối với hàng hoá xuất khẩu.</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Việc thanh toán tiền hàng hoá, dịch vụ xuất khẩu dưới hình thức thanh toán bù trừ giữa hàng hóa, dịch vụ xuất khẩu với hàng hóa, dịch vụ nhập khẩu, trả nợ thay Nhà nước được coi là thanh toán qua ngân hàng.</w:t>
      </w:r>
    </w:p>
    <w:p w:rsidR="00C77904" w:rsidRPr="00C77904" w:rsidRDefault="00C77904" w:rsidP="00C77904">
      <w:pPr>
        <w:widowControl w:val="0"/>
        <w:tabs>
          <w:tab w:val="left" w:pos="720"/>
        </w:tabs>
        <w:overflowPunct w:val="0"/>
        <w:adjustRightInd w:val="0"/>
        <w:spacing w:before="120" w:after="0" w:line="240" w:lineRule="auto"/>
        <w:ind w:firstLine="567"/>
        <w:jc w:val="both"/>
        <w:outlineLvl w:val="0"/>
        <w:rPr>
          <w:rFonts w:eastAsia="Times New Roman" w:cs="Times New Roman"/>
          <w:b/>
          <w:szCs w:val="24"/>
          <w:lang w:val="nl-NL" w:eastAsia="vi-VN"/>
        </w:rPr>
      </w:pPr>
      <w:r w:rsidRPr="00C77904">
        <w:rPr>
          <w:rFonts w:eastAsia="Times New Roman" w:cs="Times New Roman"/>
          <w:b/>
          <w:szCs w:val="24"/>
          <w:lang w:val="nl-NL" w:eastAsia="vi-VN"/>
        </w:rPr>
        <w:t>Điều 13. Các trường hợp hoàn thuế</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 xml:space="preserve">1. Cơ sở kinh doanh nộp thuế giá trị gia tăng theo phương pháp khấu trừ thuế được hoàn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 xml:space="preserve">nếu trong ba tháng liên tục trở lên có số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 xml:space="preserve">đầu vào chưa được khấu trừ hết. </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Trường hợp cơ sở kinh doanh đã đăng ký nộp thuế giá trị gia tăng theo phương pháp khấu trừ có dự án đầu tư mới, đang trong giai đoạn đầu tư có số thuế giá trị gia tăng của hàng hoá, dịch vụ mua vào sử dụng cho đầu tư mà chưa được khấu trừ hết và có số thuế còn lại từ hai trăm triệu đồng trở lên thì được hoàn thuế </w:t>
      </w:r>
      <w:r w:rsidRPr="00C77904">
        <w:rPr>
          <w:rFonts w:eastAsia="SimSun" w:cs="Times New Roman"/>
          <w:szCs w:val="24"/>
          <w:lang w:val="nl-NL" w:eastAsia="vi-VN"/>
        </w:rPr>
        <w:t>giá trị gia tăng</w:t>
      </w:r>
      <w:r w:rsidRPr="00C77904">
        <w:rPr>
          <w:rFonts w:eastAsia="Times New Roman" w:cs="Times New Roman"/>
          <w:szCs w:val="24"/>
          <w:lang w:val="nl-NL" w:eastAsia="vi-VN"/>
        </w:rPr>
        <w:t>.</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2. Cơ sở kinh doanh trong tháng có hàng hoá, dịch vụ xuất khẩu nếu có số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 xml:space="preserve">đầu vào chưa được khấu trừ từ hai trăm triệu đồng trở lên thì được hoàn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theo tháng.</w:t>
      </w:r>
    </w:p>
    <w:p w:rsidR="00C77904" w:rsidRPr="00C77904" w:rsidRDefault="00C77904" w:rsidP="00C77904">
      <w:pPr>
        <w:widowControl w:val="0"/>
        <w:tabs>
          <w:tab w:val="left" w:pos="720"/>
        </w:tabs>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 xml:space="preserve">3. Cơ sở kinh doanh nộp thuế giá trị gia tăng theo phương pháp khấu trừ thuế được hoàn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 xml:space="preserve">khi chuyển đổi sở hữu, chuyển đổi doanh nghiệp, sáp nhập, hợp nhất, chia, tách, giải thể, phá sản, chấm dứt hoạt động có số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 xml:space="preserve">nộp thừa hoặc số thuế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đầu vào chưa được khấu trừ hết.</w:t>
      </w:r>
    </w:p>
    <w:p w:rsidR="00C77904" w:rsidRPr="00C77904" w:rsidRDefault="00C77904" w:rsidP="00C77904">
      <w:pPr>
        <w:widowControl w:val="0"/>
        <w:tabs>
          <w:tab w:val="left" w:pos="720"/>
        </w:tabs>
        <w:spacing w:before="120" w:after="0" w:line="240" w:lineRule="auto"/>
        <w:jc w:val="both"/>
        <w:rPr>
          <w:rFonts w:eastAsia="Times New Roman" w:cs="Times New Roman"/>
          <w:spacing w:val="-6"/>
          <w:szCs w:val="24"/>
          <w:lang w:val="nl-NL" w:eastAsia="vi-VN"/>
        </w:rPr>
      </w:pPr>
      <w:r w:rsidRPr="00C77904">
        <w:rPr>
          <w:rFonts w:eastAsia="Times New Roman" w:cs="Times New Roman"/>
          <w:szCs w:val="24"/>
          <w:lang w:val="nl-NL" w:eastAsia="vi-VN"/>
        </w:rPr>
        <w:tab/>
      </w:r>
      <w:r w:rsidRPr="00C77904">
        <w:rPr>
          <w:rFonts w:eastAsia="Times New Roman" w:cs="Times New Roman"/>
          <w:spacing w:val="-2"/>
          <w:szCs w:val="24"/>
          <w:lang w:val="nl-NL" w:eastAsia="vi-VN"/>
        </w:rPr>
        <w:t xml:space="preserve">4. Cơ sở kinh doanh có quyết định hoàn thuế </w:t>
      </w:r>
      <w:r w:rsidRPr="00C77904">
        <w:rPr>
          <w:rFonts w:eastAsia="SimSun" w:cs="Times New Roman"/>
          <w:spacing w:val="-2"/>
          <w:szCs w:val="24"/>
          <w:lang w:val="nl-NL" w:eastAsia="vi-VN"/>
        </w:rPr>
        <w:t xml:space="preserve">giá trị gia tăng </w:t>
      </w:r>
      <w:r w:rsidRPr="00C77904">
        <w:rPr>
          <w:rFonts w:eastAsia="Times New Roman" w:cs="Times New Roman"/>
          <w:spacing w:val="-2"/>
          <w:szCs w:val="24"/>
          <w:lang w:val="nl-NL" w:eastAsia="vi-VN"/>
        </w:rPr>
        <w:t xml:space="preserve">của cơ quan có thẩm quyền theo quy định của pháp luật và trường hợp hoàn thuế </w:t>
      </w:r>
      <w:r w:rsidRPr="00C77904">
        <w:rPr>
          <w:rFonts w:eastAsia="SimSun" w:cs="Times New Roman"/>
          <w:spacing w:val="-2"/>
          <w:szCs w:val="24"/>
          <w:lang w:val="nl-NL" w:eastAsia="vi-VN"/>
        </w:rPr>
        <w:t xml:space="preserve">giá trị gia tăng </w:t>
      </w:r>
      <w:r w:rsidRPr="00C77904">
        <w:rPr>
          <w:rFonts w:eastAsia="Times New Roman" w:cs="Times New Roman"/>
          <w:spacing w:val="-2"/>
          <w:szCs w:val="24"/>
          <w:lang w:val="nl-NL" w:eastAsia="vi-VN"/>
        </w:rPr>
        <w:t>theo điều ước quốc tế mà Cộng hòa xã hội chủ nghĩa Việt Nam là thành viên</w:t>
      </w:r>
      <w:r w:rsidRPr="00C77904">
        <w:rPr>
          <w:rFonts w:eastAsia="Times New Roman" w:cs="Times New Roman"/>
          <w:spacing w:val="-6"/>
          <w:szCs w:val="24"/>
          <w:lang w:val="nl-NL" w:eastAsia="vi-VN"/>
        </w:rPr>
        <w:t>.</w:t>
      </w:r>
    </w:p>
    <w:p w:rsidR="00C77904" w:rsidRPr="00C77904" w:rsidRDefault="00C77904" w:rsidP="00C77904">
      <w:pPr>
        <w:widowControl w:val="0"/>
        <w:tabs>
          <w:tab w:val="left" w:pos="720"/>
        </w:tabs>
        <w:overflowPunct w:val="0"/>
        <w:adjustRightInd w:val="0"/>
        <w:spacing w:before="120" w:after="0" w:line="240" w:lineRule="auto"/>
        <w:jc w:val="both"/>
        <w:outlineLvl w:val="0"/>
        <w:rPr>
          <w:rFonts w:eastAsia="Times New Roman" w:cs="Times New Roman"/>
          <w:b/>
          <w:szCs w:val="24"/>
          <w:lang w:val="nl-NL" w:eastAsia="vi-VN"/>
        </w:rPr>
      </w:pPr>
      <w:r w:rsidRPr="00C77904">
        <w:rPr>
          <w:rFonts w:eastAsia="Times New Roman" w:cs="Times New Roman"/>
          <w:szCs w:val="24"/>
          <w:lang w:val="nl-NL" w:eastAsia="vi-VN"/>
        </w:rPr>
        <w:tab/>
      </w:r>
      <w:r w:rsidRPr="00C77904">
        <w:rPr>
          <w:rFonts w:eastAsia="Times New Roman" w:cs="Times New Roman"/>
          <w:b/>
          <w:szCs w:val="24"/>
          <w:lang w:val="nl-NL" w:eastAsia="vi-VN"/>
        </w:rPr>
        <w:t>Điều 14. Hóa đơn, chứng từ</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lastRenderedPageBreak/>
        <w:tab/>
        <w:t>1. Việc mua bán hàng hóa, dịch vụ phải có hóa đơn, chứng từ theo quy định của pháp luật và các quy định sau đây:</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 xml:space="preserve">a) Cơ sở kinh doanh nộp thuế theo phương pháp khấu trừ thuế sử dụng hóa đơn giá trị gia tăng; hoá đơn phải được ghi đầy đủ, đúng nội dung quy định, bao gồm cả khoản phụ thu, phí thu thêm (nếu có). Trường hợp bán hàng hoá, dịch vụ chịu thuế giá trị gia tăng mà trên hóa đơn </w:t>
      </w:r>
      <w:r w:rsidRPr="00C77904">
        <w:rPr>
          <w:rFonts w:eastAsia="SimSun" w:cs="Times New Roman"/>
          <w:szCs w:val="24"/>
          <w:lang w:val="nl-NL" w:eastAsia="vi-VN"/>
        </w:rPr>
        <w:t xml:space="preserve">giá trị gia tăng </w:t>
      </w:r>
      <w:r w:rsidRPr="00C77904">
        <w:rPr>
          <w:rFonts w:eastAsia="Times New Roman" w:cs="Times New Roman"/>
          <w:szCs w:val="24"/>
          <w:lang w:val="nl-NL" w:eastAsia="vi-VN"/>
        </w:rPr>
        <w:t>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rsidR="00C77904" w:rsidRPr="00C77904" w:rsidRDefault="00C77904" w:rsidP="00C77904">
      <w:pPr>
        <w:widowControl w:val="0"/>
        <w:tabs>
          <w:tab w:val="left" w:pos="720"/>
        </w:tabs>
        <w:spacing w:before="120" w:after="0" w:line="240" w:lineRule="auto"/>
        <w:jc w:val="both"/>
        <w:rPr>
          <w:rFonts w:eastAsia="Times New Roman" w:cs="Times New Roman"/>
          <w:szCs w:val="24"/>
          <w:lang w:val="nl-NL" w:eastAsia="vi-VN"/>
        </w:rPr>
      </w:pPr>
      <w:r w:rsidRPr="00C77904">
        <w:rPr>
          <w:rFonts w:eastAsia="Times New Roman" w:cs="Times New Roman"/>
          <w:szCs w:val="24"/>
          <w:lang w:val="nl-NL" w:eastAsia="vi-VN"/>
        </w:rPr>
        <w:tab/>
        <w:t xml:space="preserve">b) Cơ sở kinh doanh nộp thuế theo phương pháp tính trực tiếp trên giá trị gia tăng sử dụng hoá đơn bán hàng. </w:t>
      </w:r>
    </w:p>
    <w:p w:rsidR="00C77904" w:rsidRPr="00C77904" w:rsidRDefault="00C77904" w:rsidP="00C77904">
      <w:pPr>
        <w:widowControl w:val="0"/>
        <w:tabs>
          <w:tab w:val="left" w:pos="720"/>
        </w:tabs>
        <w:spacing w:before="120" w:after="0" w:line="240" w:lineRule="auto"/>
        <w:jc w:val="both"/>
        <w:outlineLvl w:val="0"/>
        <w:rPr>
          <w:rFonts w:eastAsia="Times New Roman" w:cs="Times New Roman"/>
          <w:szCs w:val="24"/>
          <w:lang w:val="nl-NL" w:eastAsia="vi-VN"/>
        </w:rPr>
      </w:pPr>
      <w:r w:rsidRPr="00C77904">
        <w:rPr>
          <w:rFonts w:eastAsia="Times New Roman" w:cs="Times New Roman"/>
          <w:szCs w:val="24"/>
          <w:lang w:val="nl-NL" w:eastAsia="vi-VN"/>
        </w:rPr>
        <w:tab/>
        <w:t>2. Đối với các loại tem, vé là chứng từ thanh toán in sẵn giá thanh toán thì giá thanh toán tem, vé đó đã bao gồm thuế giá trị gia tăng.</w:t>
      </w:r>
    </w:p>
    <w:p w:rsidR="00C77904" w:rsidRPr="00C77904" w:rsidRDefault="00C77904" w:rsidP="00C77904">
      <w:pPr>
        <w:widowControl w:val="0"/>
        <w:tabs>
          <w:tab w:val="left" w:pos="720"/>
        </w:tabs>
        <w:spacing w:after="0" w:line="240" w:lineRule="auto"/>
        <w:jc w:val="center"/>
        <w:outlineLvl w:val="0"/>
        <w:rPr>
          <w:rFonts w:eastAsia="Times New Roman" w:cs="Times New Roman"/>
          <w:szCs w:val="24"/>
          <w:lang w:val="nl-NL" w:eastAsia="vi-VN"/>
        </w:rPr>
      </w:pPr>
    </w:p>
    <w:p w:rsidR="00C77904" w:rsidRPr="00C77904" w:rsidRDefault="00C77904" w:rsidP="00C77904">
      <w:pPr>
        <w:widowControl w:val="0"/>
        <w:tabs>
          <w:tab w:val="left" w:pos="720"/>
        </w:tabs>
        <w:spacing w:after="0" w:line="240" w:lineRule="auto"/>
        <w:jc w:val="center"/>
        <w:outlineLvl w:val="0"/>
        <w:rPr>
          <w:rFonts w:eastAsia="Times New Roman" w:cs="Times New Roman"/>
          <w:b/>
          <w:szCs w:val="24"/>
          <w:lang w:val="nl-NL" w:eastAsia="vi-VN"/>
        </w:rPr>
      </w:pPr>
      <w:r w:rsidRPr="00C77904">
        <w:rPr>
          <w:rFonts w:eastAsia="Times New Roman" w:cs="Times New Roman"/>
          <w:b/>
          <w:szCs w:val="24"/>
          <w:lang w:val="nl-NL" w:eastAsia="vi-VN"/>
        </w:rPr>
        <w:t>Chương IV</w:t>
      </w:r>
    </w:p>
    <w:p w:rsidR="00C77904" w:rsidRPr="00C77904" w:rsidRDefault="00C77904" w:rsidP="00C77904">
      <w:pPr>
        <w:widowControl w:val="0"/>
        <w:tabs>
          <w:tab w:val="left" w:pos="720"/>
        </w:tabs>
        <w:spacing w:after="0" w:line="240" w:lineRule="auto"/>
        <w:jc w:val="center"/>
        <w:rPr>
          <w:rFonts w:eastAsia="Times New Roman" w:cs="Times New Roman"/>
          <w:b/>
          <w:szCs w:val="24"/>
          <w:lang w:val="nl-NL" w:eastAsia="vi-VN"/>
        </w:rPr>
      </w:pPr>
      <w:r w:rsidRPr="00C77904">
        <w:rPr>
          <w:rFonts w:eastAsia="Times New Roman" w:cs="Times New Roman"/>
          <w:b/>
          <w:szCs w:val="24"/>
          <w:lang w:val="nl-NL" w:eastAsia="vi-VN"/>
        </w:rPr>
        <w:t>ĐIỀU KHOẢN THI HÀNH</w:t>
      </w:r>
    </w:p>
    <w:p w:rsidR="00C77904" w:rsidRPr="00C77904" w:rsidRDefault="00C77904" w:rsidP="00C77904">
      <w:pPr>
        <w:widowControl w:val="0"/>
        <w:overflowPunct w:val="0"/>
        <w:adjustRightInd w:val="0"/>
        <w:spacing w:before="120" w:after="0" w:line="240" w:lineRule="auto"/>
        <w:ind w:firstLine="720"/>
        <w:jc w:val="both"/>
        <w:outlineLvl w:val="0"/>
        <w:rPr>
          <w:rFonts w:eastAsia="Times New Roman" w:cs="Times New Roman"/>
          <w:b/>
          <w:szCs w:val="24"/>
          <w:lang w:val="nl-NL" w:eastAsia="vi-VN"/>
        </w:rPr>
      </w:pPr>
      <w:r w:rsidRPr="00C77904">
        <w:rPr>
          <w:rFonts w:eastAsia="Times New Roman" w:cs="Times New Roman"/>
          <w:b/>
          <w:szCs w:val="24"/>
          <w:lang w:val="nl-NL" w:eastAsia="vi-VN"/>
        </w:rPr>
        <w:t>Điều 15.</w:t>
      </w:r>
      <w:r w:rsidRPr="00C77904">
        <w:rPr>
          <w:rFonts w:eastAsia="Times New Roman" w:cs="Times New Roman"/>
          <w:b/>
          <w:i/>
          <w:szCs w:val="24"/>
          <w:lang w:val="nl-NL" w:eastAsia="vi-VN"/>
        </w:rPr>
        <w:t xml:space="preserve"> </w:t>
      </w:r>
      <w:r w:rsidRPr="00C77904">
        <w:rPr>
          <w:rFonts w:eastAsia="Times New Roman" w:cs="Times New Roman"/>
          <w:b/>
          <w:szCs w:val="24"/>
          <w:lang w:val="nl-NL" w:eastAsia="vi-VN"/>
        </w:rPr>
        <w:t>Hiệu lực thi hành</w:t>
      </w:r>
    </w:p>
    <w:p w:rsidR="00C77904" w:rsidRPr="00C77904" w:rsidRDefault="00C77904" w:rsidP="00C77904">
      <w:pPr>
        <w:overflowPunct w:val="0"/>
        <w:adjustRightInd w:val="0"/>
        <w:spacing w:before="120" w:after="0" w:line="240" w:lineRule="auto"/>
        <w:ind w:firstLine="720"/>
        <w:jc w:val="both"/>
        <w:rPr>
          <w:rFonts w:eastAsia="SimSun" w:cs="Times New Roman"/>
          <w:szCs w:val="24"/>
          <w:lang w:val="nl-NL" w:eastAsia="vi-VN"/>
        </w:rPr>
      </w:pPr>
      <w:r w:rsidRPr="00C77904">
        <w:rPr>
          <w:rFonts w:eastAsia="Times New Roman" w:cs="Times New Roman"/>
          <w:szCs w:val="24"/>
          <w:lang w:val="nl-NL" w:eastAsia="vi-VN"/>
        </w:rPr>
        <w:t>1. Luật này có hiệu lực thi hành từ ngày 01 tháng 01 năm 2009.</w:t>
      </w:r>
    </w:p>
    <w:p w:rsidR="00C77904" w:rsidRPr="00C77904" w:rsidRDefault="00C77904" w:rsidP="00C77904">
      <w:pPr>
        <w:widowControl w:val="0"/>
        <w:overflowPunct w:val="0"/>
        <w:adjustRightInd w:val="0"/>
        <w:spacing w:before="120" w:after="0" w:line="240" w:lineRule="auto"/>
        <w:ind w:left="540" w:firstLine="180"/>
        <w:jc w:val="both"/>
        <w:rPr>
          <w:rFonts w:eastAsia="SimSun" w:cs="Times New Roman"/>
          <w:szCs w:val="24"/>
          <w:lang w:val="nl-NL" w:eastAsia="vi-VN"/>
        </w:rPr>
      </w:pPr>
      <w:r w:rsidRPr="00C77904">
        <w:rPr>
          <w:rFonts w:eastAsia="Times New Roman" w:cs="Times New Roman"/>
          <w:szCs w:val="24"/>
          <w:lang w:val="nl-NL" w:eastAsia="vi-VN"/>
        </w:rPr>
        <w:t>2. Luật này thay thế các luật sau đây:</w:t>
      </w:r>
    </w:p>
    <w:p w:rsidR="00C77904" w:rsidRPr="00C77904" w:rsidRDefault="00C77904" w:rsidP="00C77904">
      <w:pPr>
        <w:widowControl w:val="0"/>
        <w:overflowPunct w:val="0"/>
        <w:adjustRightInd w:val="0"/>
        <w:spacing w:before="120" w:after="0" w:line="240" w:lineRule="auto"/>
        <w:ind w:firstLine="720"/>
        <w:jc w:val="both"/>
        <w:rPr>
          <w:rFonts w:eastAsia="SimSun" w:cs="Times New Roman"/>
          <w:szCs w:val="24"/>
          <w:lang w:val="nl-NL" w:eastAsia="vi-VN"/>
        </w:rPr>
      </w:pPr>
      <w:r w:rsidRPr="00C77904">
        <w:rPr>
          <w:rFonts w:eastAsia="Times New Roman" w:cs="Times New Roman"/>
          <w:szCs w:val="24"/>
          <w:lang w:val="nl-NL" w:eastAsia="vi-VN"/>
        </w:rPr>
        <w:t>a) Luật thuế giá trị gia tăng năm 1997;</w:t>
      </w:r>
    </w:p>
    <w:p w:rsidR="00C77904" w:rsidRPr="00C77904" w:rsidRDefault="00C77904" w:rsidP="00C77904">
      <w:pPr>
        <w:widowControl w:val="0"/>
        <w:overflowPunct w:val="0"/>
        <w:adjustRightInd w:val="0"/>
        <w:spacing w:before="120" w:after="0" w:line="240" w:lineRule="auto"/>
        <w:ind w:firstLine="720"/>
        <w:jc w:val="both"/>
        <w:rPr>
          <w:rFonts w:eastAsia="SimSun" w:cs="Times New Roman"/>
          <w:szCs w:val="24"/>
          <w:lang w:val="nl-NL" w:eastAsia="vi-VN"/>
        </w:rPr>
      </w:pPr>
      <w:r w:rsidRPr="00C77904">
        <w:rPr>
          <w:rFonts w:eastAsia="Times New Roman" w:cs="Times New Roman"/>
          <w:szCs w:val="24"/>
          <w:lang w:val="nl-NL" w:eastAsia="vi-VN"/>
        </w:rPr>
        <w:t xml:space="preserve">b) Luật sửa đổi, bổ sung một số điều của Luật thuế </w:t>
      </w:r>
      <w:r w:rsidRPr="00C77904">
        <w:rPr>
          <w:rFonts w:eastAsia="SimSun" w:cs="Times New Roman"/>
          <w:szCs w:val="24"/>
          <w:lang w:val="nl-NL" w:eastAsia="vi-VN"/>
        </w:rPr>
        <w:t>giá trị gia tăng</w:t>
      </w:r>
      <w:r w:rsidRPr="00C77904">
        <w:rPr>
          <w:rFonts w:eastAsia="Times New Roman" w:cs="Times New Roman"/>
          <w:szCs w:val="24"/>
          <w:lang w:val="nl-NL" w:eastAsia="vi-VN"/>
        </w:rPr>
        <w:t xml:space="preserve"> số 07/2003/QH11;</w:t>
      </w:r>
    </w:p>
    <w:p w:rsidR="00C77904" w:rsidRPr="00C77904" w:rsidRDefault="00C77904" w:rsidP="00C77904">
      <w:pPr>
        <w:widowControl w:val="0"/>
        <w:overflowPunct w:val="0"/>
        <w:adjustRightInd w:val="0"/>
        <w:spacing w:before="120" w:after="0" w:line="240" w:lineRule="auto"/>
        <w:ind w:firstLine="720"/>
        <w:jc w:val="both"/>
        <w:rPr>
          <w:rFonts w:eastAsia="SimSun" w:cs="Times New Roman"/>
          <w:szCs w:val="24"/>
          <w:lang w:val="nl-NL" w:eastAsia="vi-VN"/>
        </w:rPr>
      </w:pPr>
      <w:r w:rsidRPr="00C77904">
        <w:rPr>
          <w:rFonts w:eastAsia="Times New Roman" w:cs="Times New Roman"/>
          <w:szCs w:val="24"/>
          <w:lang w:val="nl-NL" w:eastAsia="vi-VN"/>
        </w:rPr>
        <w:t xml:space="preserve">3. Bãi bỏ Điều 2 của Luật sửa đổi, bổ sung một số điều của Luật thuế tiêu thụ đặc biệt và Luật thuế </w:t>
      </w:r>
      <w:r w:rsidRPr="00C77904">
        <w:rPr>
          <w:rFonts w:eastAsia="SimSun" w:cs="Times New Roman"/>
          <w:szCs w:val="24"/>
          <w:lang w:val="nl-NL" w:eastAsia="vi-VN"/>
        </w:rPr>
        <w:t>giá trị gia tăng số 57/2005/QH11.</w:t>
      </w:r>
    </w:p>
    <w:p w:rsidR="00C77904" w:rsidRPr="00C77904" w:rsidRDefault="00C77904" w:rsidP="00C77904">
      <w:pPr>
        <w:widowControl w:val="0"/>
        <w:tabs>
          <w:tab w:val="left" w:pos="720"/>
        </w:tabs>
        <w:overflowPunct w:val="0"/>
        <w:adjustRightInd w:val="0"/>
        <w:spacing w:before="120" w:after="0" w:line="240" w:lineRule="auto"/>
        <w:jc w:val="both"/>
        <w:outlineLvl w:val="0"/>
        <w:rPr>
          <w:rFonts w:eastAsia="Times New Roman" w:cs="Times New Roman"/>
          <w:b/>
          <w:szCs w:val="24"/>
          <w:lang w:val="nl-NL" w:eastAsia="vi-VN"/>
        </w:rPr>
      </w:pPr>
      <w:r w:rsidRPr="00C77904">
        <w:rPr>
          <w:rFonts w:eastAsia="Times New Roman" w:cs="Times New Roman"/>
          <w:b/>
          <w:i/>
          <w:szCs w:val="24"/>
          <w:lang w:val="nl-NL" w:eastAsia="vi-VN"/>
        </w:rPr>
        <w:tab/>
      </w:r>
      <w:r w:rsidRPr="00C77904">
        <w:rPr>
          <w:rFonts w:eastAsia="Times New Roman" w:cs="Times New Roman"/>
          <w:b/>
          <w:szCs w:val="24"/>
          <w:lang w:val="nl-NL" w:eastAsia="vi-VN"/>
        </w:rPr>
        <w:t>Điều 16. Hướng dẫn thi hành</w:t>
      </w: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r w:rsidRPr="00C77904">
        <w:rPr>
          <w:rFonts w:eastAsia="Times New Roman" w:cs="Times New Roman"/>
          <w:szCs w:val="24"/>
          <w:lang w:val="nl-NL" w:eastAsia="vi-VN"/>
        </w:rPr>
        <w:t>Chính phủ quy định chi tiết và hướng dẫn thi hành các điều 5, 7, 8, 12, 13 và các nội dung cần thiết khác của Luật này theo yêu cầu quản lý.</w:t>
      </w: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p>
    <w:p w:rsidR="00C77904" w:rsidRPr="00C77904" w:rsidRDefault="00C77904" w:rsidP="00C77904">
      <w:pPr>
        <w:widowControl w:val="0"/>
        <w:spacing w:before="120" w:after="0" w:line="240" w:lineRule="auto"/>
        <w:ind w:firstLine="720"/>
        <w:jc w:val="both"/>
        <w:rPr>
          <w:rFonts w:eastAsia="Times New Roman" w:cs="Times New Roman"/>
          <w:szCs w:val="24"/>
          <w:lang w:val="nl-NL" w:eastAsia="vi-VN"/>
        </w:rPr>
      </w:pPr>
      <w:r w:rsidRPr="00C77904">
        <w:rPr>
          <w:rFonts w:eastAsia="Times New Roman" w:cs="Times New Roman"/>
          <w:noProof/>
          <w:szCs w:val="24"/>
          <w:lang w:val="en-US" w:eastAsia="vi-V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5715000" cy="0"/>
                <wp:effectExtent l="9525" t="6350" r="9525" b="1270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F3C33" id="Straight Connector 10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Zi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"/>
            </w:pict>
          </mc:Fallback>
        </mc:AlternateContent>
      </w:r>
      <w:r w:rsidRPr="00C77904">
        <w:rPr>
          <w:rFonts w:eastAsia="Times New Roman" w:cs="Times New Roman"/>
          <w:noProof/>
          <w:szCs w:val="24"/>
          <w:lang w:val="en-US" w:eastAsia="vi-VN"/>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0</wp:posOffset>
                </wp:positionV>
                <wp:extent cx="0" cy="0"/>
                <wp:effectExtent l="9525" t="9525" r="9525" b="952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FCD3" id="Straight Connector 10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cbGQIAADQ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"/>
            </w:pict>
          </mc:Fallback>
        </mc:AlternateContent>
      </w:r>
      <w:r w:rsidRPr="00C77904">
        <w:rPr>
          <w:rFonts w:eastAsia="Times New Roman" w:cs="Times New Roman"/>
          <w:i/>
          <w:szCs w:val="24"/>
          <w:lang w:val="nl-NL" w:eastAsia="vi-VN"/>
        </w:rPr>
        <w:t>Luật này đã được Quốc hội nước Cộng hòa xã hội chủ nghĩa Việt Nam khóa XII, kỳ họp thứ 3 thông qua ngày 03 tháng 6 năm 2008.</w:t>
      </w:r>
    </w:p>
    <w:p w:rsidR="00C77904" w:rsidRPr="00C77904" w:rsidRDefault="00C77904" w:rsidP="00C77904">
      <w:pPr>
        <w:widowControl w:val="0"/>
        <w:spacing w:before="120" w:after="0" w:line="240" w:lineRule="auto"/>
        <w:jc w:val="both"/>
        <w:rPr>
          <w:rFonts w:eastAsia="Times New Roman" w:cs="Times New Roman"/>
          <w:b/>
          <w:szCs w:val="24"/>
          <w:lang w:val="nl-NL" w:eastAsia="vi-VN"/>
        </w:rPr>
      </w:pPr>
    </w:p>
    <w:p w:rsidR="00C77904" w:rsidRPr="00C77904" w:rsidRDefault="00C77904" w:rsidP="00C77904">
      <w:pPr>
        <w:widowControl w:val="0"/>
        <w:spacing w:after="0" w:line="240" w:lineRule="auto"/>
        <w:ind w:firstLine="3969"/>
        <w:jc w:val="center"/>
        <w:outlineLvl w:val="0"/>
        <w:rPr>
          <w:rFonts w:eastAsia="Times New Roman" w:cs="Times New Roman"/>
          <w:b/>
          <w:szCs w:val="24"/>
          <w:lang w:val="nl-NL" w:eastAsia="vi-VN"/>
        </w:rPr>
      </w:pPr>
      <w:r w:rsidRPr="00C77904">
        <w:rPr>
          <w:rFonts w:eastAsia="Times New Roman" w:cs="Times New Roman"/>
          <w:b/>
          <w:szCs w:val="24"/>
          <w:lang w:val="nl-NL" w:eastAsia="vi-VN"/>
        </w:rPr>
        <w:t>CHỦ TỊCH QUỐC HỘI</w:t>
      </w:r>
    </w:p>
    <w:p w:rsidR="00C77904" w:rsidRPr="00C77904" w:rsidRDefault="00C77904" w:rsidP="00C77904">
      <w:pPr>
        <w:widowControl w:val="0"/>
        <w:spacing w:after="0" w:line="240" w:lineRule="auto"/>
        <w:ind w:firstLine="3969"/>
        <w:jc w:val="center"/>
        <w:outlineLvl w:val="0"/>
        <w:rPr>
          <w:rFonts w:eastAsia="Times New Roman" w:cs="Times New Roman"/>
          <w:b/>
          <w:szCs w:val="24"/>
          <w:lang w:val="nl-NL" w:eastAsia="vi-VN"/>
        </w:rPr>
      </w:pPr>
      <w:r w:rsidRPr="00C77904">
        <w:rPr>
          <w:rFonts w:eastAsia="Times New Roman" w:cs="Times New Roman"/>
          <w:b/>
          <w:szCs w:val="24"/>
          <w:lang w:val="nl-NL" w:eastAsia="vi-VN"/>
        </w:rPr>
        <w:t xml:space="preserve"> Nguyễn Phú Trọng</w:t>
      </w:r>
    </w:p>
    <w:p w:rsidR="00C77904" w:rsidRPr="00C77904" w:rsidRDefault="00C77904" w:rsidP="00C77904">
      <w:pPr>
        <w:spacing w:before="120" w:after="0" w:line="240" w:lineRule="auto"/>
        <w:jc w:val="right"/>
        <w:rPr>
          <w:rFonts w:eastAsia="Times New Roman" w:cs="Times New Roman"/>
          <w:szCs w:val="24"/>
          <w:lang w:val="nl-NL" w:eastAsia="vi-VN"/>
        </w:rPr>
      </w:pPr>
    </w:p>
    <w:p w:rsidR="00C77904" w:rsidRPr="00C77904" w:rsidRDefault="00C77904" w:rsidP="00C77904">
      <w:pPr>
        <w:spacing w:after="0" w:line="240" w:lineRule="auto"/>
        <w:rPr>
          <w:rFonts w:eastAsia="Times New Roman" w:cs="Times New Roman"/>
          <w:szCs w:val="24"/>
          <w:lang w:val="nl-NL" w:eastAsia="vi-VN"/>
        </w:rPr>
      </w:pPr>
    </w:p>
    <w:p w:rsidR="00F1132A" w:rsidRPr="00C77904" w:rsidRDefault="00F1132A" w:rsidP="00C77904">
      <w:pPr>
        <w:rPr>
          <w:lang w:val="nl-NL"/>
        </w:rPr>
      </w:pPr>
      <w:bookmarkStart w:id="0" w:name="_GoBack"/>
      <w:bookmarkEnd w:id="0"/>
    </w:p>
    <w:sectPr w:rsidR="00F1132A" w:rsidRPr="00C779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47C" w:rsidRDefault="009F447C" w:rsidP="00BC20A2">
      <w:pPr>
        <w:spacing w:after="0" w:line="240" w:lineRule="auto"/>
      </w:pPr>
      <w:r>
        <w:separator/>
      </w:r>
    </w:p>
  </w:endnote>
  <w:endnote w:type="continuationSeparator" w:id="0">
    <w:p w:rsidR="009F447C" w:rsidRDefault="009F447C"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47C" w:rsidRDefault="009F447C" w:rsidP="00BC20A2">
      <w:pPr>
        <w:spacing w:after="0" w:line="240" w:lineRule="auto"/>
      </w:pPr>
      <w:r>
        <w:separator/>
      </w:r>
    </w:p>
  </w:footnote>
  <w:footnote w:type="continuationSeparator" w:id="0">
    <w:p w:rsidR="009F447C" w:rsidRDefault="009F447C"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C03D0"/>
    <w:rsid w:val="005156D9"/>
    <w:rsid w:val="0053030B"/>
    <w:rsid w:val="005617E5"/>
    <w:rsid w:val="005B3954"/>
    <w:rsid w:val="00621CF2"/>
    <w:rsid w:val="006C01D7"/>
    <w:rsid w:val="00731EDE"/>
    <w:rsid w:val="00842C7A"/>
    <w:rsid w:val="00870B23"/>
    <w:rsid w:val="0088376F"/>
    <w:rsid w:val="009F447C"/>
    <w:rsid w:val="00A37E57"/>
    <w:rsid w:val="00AA0AC0"/>
    <w:rsid w:val="00AC7ADE"/>
    <w:rsid w:val="00AF7A0F"/>
    <w:rsid w:val="00BC20A2"/>
    <w:rsid w:val="00BD1417"/>
    <w:rsid w:val="00C77904"/>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2017-11-18T02:03:00Z</dcterms:created>
  <dcterms:modified xsi:type="dcterms:W3CDTF">2017-11-18T02:03:00Z</dcterms:modified>
</cp:coreProperties>
</file>